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E5F50" w14:textId="77777777" w:rsidR="00844D3A" w:rsidRPr="00FC5AE7" w:rsidRDefault="00844D3A" w:rsidP="002E2B28">
      <w:pPr>
        <w:pStyle w:val="IATED-PaperTitle"/>
      </w:pPr>
      <w:r w:rsidRPr="00FC5AE7">
        <w:t>DIGITAL PLATFORMS IN HIGHER EDUCATION IN LIGHT OF INDUSTRY 4.0</w:t>
      </w:r>
    </w:p>
    <w:p w14:paraId="6C4B87FB" w14:textId="77777777" w:rsidR="00B55A17" w:rsidRPr="001263B7" w:rsidRDefault="00B55A17" w:rsidP="00537F75">
      <w:pPr>
        <w:pStyle w:val="IATED-Authors"/>
        <w:rPr>
          <w:lang w:val="es-ES"/>
        </w:rPr>
      </w:pPr>
      <w:r w:rsidRPr="001263B7">
        <w:rPr>
          <w:lang w:val="es-ES"/>
        </w:rPr>
        <w:t>I. Milošević</w:t>
      </w:r>
      <w:r w:rsidRPr="001263B7">
        <w:rPr>
          <w:vertAlign w:val="superscript"/>
          <w:lang w:val="es-ES"/>
        </w:rPr>
        <w:t>1</w:t>
      </w:r>
      <w:r w:rsidRPr="001263B7">
        <w:rPr>
          <w:lang w:val="es-ES"/>
        </w:rPr>
        <w:t>, J. Ruso</w:t>
      </w:r>
      <w:r w:rsidRPr="001263B7">
        <w:rPr>
          <w:vertAlign w:val="superscript"/>
          <w:lang w:val="es-ES"/>
        </w:rPr>
        <w:t>2</w:t>
      </w:r>
      <w:r w:rsidRPr="001263B7">
        <w:rPr>
          <w:lang w:val="es-ES"/>
        </w:rPr>
        <w:t>, A. Rakić</w:t>
      </w:r>
      <w:r w:rsidRPr="001263B7">
        <w:rPr>
          <w:vertAlign w:val="superscript"/>
          <w:lang w:val="es-ES"/>
        </w:rPr>
        <w:t>2</w:t>
      </w:r>
    </w:p>
    <w:p w14:paraId="28AC9535" w14:textId="791F3703" w:rsidR="00B55A17" w:rsidRPr="00FC5AE7" w:rsidRDefault="00B55A17" w:rsidP="00B55A17">
      <w:pPr>
        <w:pStyle w:val="IATED-Affiliation"/>
      </w:pPr>
      <w:r w:rsidRPr="00FC5AE7">
        <w:rPr>
          <w:vertAlign w:val="superscript"/>
        </w:rPr>
        <w:t>1</w:t>
      </w:r>
      <w:r w:rsidRPr="00FC5AE7">
        <w:t>Universit</w:t>
      </w:r>
      <w:r w:rsidR="00C269F9">
        <w:t>y</w:t>
      </w:r>
      <w:r w:rsidRPr="00FC5AE7">
        <w:t xml:space="preserve"> of Belgrade, Technical Faculty in </w:t>
      </w:r>
      <w:proofErr w:type="spellStart"/>
      <w:r w:rsidRPr="00FC5AE7">
        <w:t>Bor</w:t>
      </w:r>
      <w:proofErr w:type="spellEnd"/>
      <w:r w:rsidRPr="00FC5AE7">
        <w:t xml:space="preserve"> (SERBIA)</w:t>
      </w:r>
    </w:p>
    <w:p w14:paraId="05B34922" w14:textId="1FC449EB" w:rsidR="00B55A17" w:rsidRPr="00FC5AE7" w:rsidRDefault="00B55A17" w:rsidP="00B55A17">
      <w:pPr>
        <w:pStyle w:val="IATED-Affiliation"/>
      </w:pPr>
      <w:r w:rsidRPr="00FC5AE7">
        <w:rPr>
          <w:vertAlign w:val="superscript"/>
        </w:rPr>
        <w:t>2</w:t>
      </w:r>
      <w:r w:rsidRPr="00FC5AE7">
        <w:t>University of Belgrade, Faculty of Organizational Sciences (SERBIA)</w:t>
      </w:r>
    </w:p>
    <w:p w14:paraId="082BD578" w14:textId="77777777" w:rsidR="00B55A17" w:rsidRPr="00705478" w:rsidRDefault="00B55A17" w:rsidP="00B55A17">
      <w:pPr>
        <w:pStyle w:val="Title"/>
        <w:rPr>
          <w:lang w:val="en-GB"/>
        </w:rPr>
      </w:pPr>
      <w:r w:rsidRPr="00705478">
        <w:rPr>
          <w:lang w:val="en-GB"/>
        </w:rPr>
        <w:t>Abstract</w:t>
      </w:r>
    </w:p>
    <w:p w14:paraId="3A67B41C" w14:textId="77777777" w:rsidR="00996036" w:rsidRDefault="00996036" w:rsidP="00B55A17">
      <w:pPr>
        <w:rPr>
          <w:lang w:val="en-GB"/>
        </w:rPr>
      </w:pPr>
      <w:r w:rsidRPr="00996036">
        <w:rPr>
          <w:lang w:val="en-GB"/>
        </w:rPr>
        <w:t xml:space="preserve">The wheels of the Industrial Revolution propel the progression of society, while the societal transformation mirrors the imminent Industrial Revolution acknowledged within the contexts of Industry 4.0. Notably, the rapid progress of technological innovation has had a significant impact on various sectors, including the field of education. Consequently, contemporary universities are tasked with delivering a heightened level of service quality to align with evolving industrial trends, emphasizing human innovation and collaboration within shared digital environments. The introduction of digital platforms and distance learning represent key changes in how education is approached, providing the various tools and resources that support learning, teaching, </w:t>
      </w:r>
      <w:proofErr w:type="gramStart"/>
      <w:r w:rsidRPr="00996036">
        <w:rPr>
          <w:lang w:val="en-GB"/>
        </w:rPr>
        <w:t>research</w:t>
      </w:r>
      <w:proofErr w:type="gramEnd"/>
      <w:r w:rsidRPr="00996036">
        <w:rPr>
          <w:lang w:val="en-GB"/>
        </w:rPr>
        <w:t xml:space="preserve"> and administrative processes. Hence, this paper seeks to define a measuring instrument for quality variables in online higher education through factors such as tangibility, reliability, readiness, assurance of digital platforms, and empathy in their use. Examining the correlation between defined quality variables in higher education </w:t>
      </w:r>
      <w:proofErr w:type="gramStart"/>
      <w:r w:rsidRPr="00996036">
        <w:rPr>
          <w:lang w:val="en-GB"/>
        </w:rPr>
        <w:t>through the use of</w:t>
      </w:r>
      <w:proofErr w:type="gramEnd"/>
      <w:r w:rsidRPr="00996036">
        <w:rPr>
          <w:lang w:val="en-GB"/>
        </w:rPr>
        <w:t xml:space="preserve"> digital platforms will provide a clear insight into the direction and strength of the relationship that exists between quality variables, emphasizing their positive relationship. These findings provide a basis for constructing a framework to enhance the quality of digital platforms in the </w:t>
      </w:r>
      <w:proofErr w:type="gramStart"/>
      <w:r w:rsidRPr="00996036">
        <w:rPr>
          <w:lang w:val="en-GB"/>
        </w:rPr>
        <w:t>Industry</w:t>
      </w:r>
      <w:proofErr w:type="gramEnd"/>
      <w:r w:rsidRPr="00996036">
        <w:rPr>
          <w:lang w:val="en-GB"/>
        </w:rPr>
        <w:t xml:space="preserve"> 4.0 era, contributing to the foundational elements for developing Society 5.0.</w:t>
      </w:r>
    </w:p>
    <w:p w14:paraId="35644E01" w14:textId="6408A325" w:rsidR="00B55A17" w:rsidRPr="00FC5AE7" w:rsidRDefault="00B55A17" w:rsidP="00B55A17">
      <w:r w:rsidRPr="00FC5AE7">
        <w:rPr>
          <w:lang w:val="en-GB"/>
        </w:rPr>
        <w:t>Keywords: Digital Platforms, Higher Education, Industry 4.0, SEM.</w:t>
      </w:r>
    </w:p>
    <w:p w14:paraId="64114FC2" w14:textId="33060BB7" w:rsidR="00B55A17" w:rsidRPr="00FC5AE7" w:rsidRDefault="004D3018" w:rsidP="00B55A17">
      <w:pPr>
        <w:pStyle w:val="Heading1"/>
        <w:rPr>
          <w:lang w:val="en-GB"/>
        </w:rPr>
      </w:pPr>
      <w:r w:rsidRPr="00FC5AE7">
        <w:rPr>
          <w:lang w:val="en-GB"/>
        </w:rPr>
        <w:t>INTRODUCTION</w:t>
      </w:r>
    </w:p>
    <w:p w14:paraId="528802C9" w14:textId="4BAE4F10" w:rsidR="00FC6C44" w:rsidRPr="00FC6C44" w:rsidRDefault="00FC6C44" w:rsidP="001263B7">
      <w:pPr>
        <w:pStyle w:val="ii-text"/>
        <w:rPr>
          <w:b/>
          <w:bCs/>
          <w:caps/>
        </w:rPr>
      </w:pPr>
      <w:r w:rsidRPr="00FC6C44">
        <w:t>Digital platforms have significantly transformed how higher education institutions interact with various stakeholders (</w:t>
      </w:r>
      <w:r w:rsidR="00D76600">
        <w:rPr>
          <w:lang w:val="sr-Latn-RS"/>
        </w:rPr>
        <w:t>[1]</w:t>
      </w:r>
      <w:r w:rsidRPr="00FC6C44">
        <w:t>). The success of platform adoption in higher education depends on anticipating the factors that affect technology acceptance by users and implementing strategies that enhance quality within the system (</w:t>
      </w:r>
      <w:r w:rsidR="000C2339">
        <w:t>[2]</w:t>
      </w:r>
      <w:r w:rsidRPr="00FC6C44">
        <w:t xml:space="preserve">; </w:t>
      </w:r>
      <w:r w:rsidR="000C2339">
        <w:t>[3]</w:t>
      </w:r>
      <w:r w:rsidRPr="00FC6C44">
        <w:t>). The digital learning platforms and tools favoured by students have demonstrated the most favourable impact on their comprehension of the learning material (</w:t>
      </w:r>
      <w:r w:rsidR="000C2339">
        <w:t>[4]</w:t>
      </w:r>
      <w:r w:rsidRPr="00FC6C44">
        <w:t>).</w:t>
      </w:r>
      <w:r w:rsidR="00D90864">
        <w:t xml:space="preserve"> </w:t>
      </w:r>
      <w:r w:rsidRPr="00FC6C44">
        <w:t>Digital platforms in higher education refer to the electronic systems and tools that support teaching, learning, and administrative processes at higher education institutions to achieve quality performance (</w:t>
      </w:r>
      <w:r w:rsidR="000C2339">
        <w:t>[1]</w:t>
      </w:r>
      <w:r w:rsidRPr="00FC6C44">
        <w:t xml:space="preserve">). Particularly, </w:t>
      </w:r>
      <w:r w:rsidR="001F2ABD">
        <w:t>“</w:t>
      </w:r>
      <w:r w:rsidRPr="00FC6C44">
        <w:t>dependency on digital gadgets has transformed the learning and knowledge-sharing approaches</w:t>
      </w:r>
      <w:r w:rsidR="001F2ABD">
        <w:t>”</w:t>
      </w:r>
      <w:r w:rsidRPr="00FC6C44">
        <w:t xml:space="preserve"> (</w:t>
      </w:r>
      <w:r w:rsidR="00B62A54">
        <w:t>[5]</w:t>
      </w:r>
      <w:r w:rsidRPr="00FC6C44">
        <w:t>).</w:t>
      </w:r>
    </w:p>
    <w:p w14:paraId="601C3BFA" w14:textId="2F789D54" w:rsidR="00B84FF1" w:rsidRDefault="00877C19" w:rsidP="00B84FF1">
      <w:pPr>
        <w:pStyle w:val="ii-text"/>
      </w:pPr>
      <w:r w:rsidRPr="00877C19">
        <w:t>Primarily, leveraging suitable digital learning platforms and tools to entice students into self-paced learning has the potential to enhance teaching effectiveness for instructors and foster digital proficiency aligned with Industry 4.0, thereby contributing to Education 4.0 (</w:t>
      </w:r>
      <w:r w:rsidR="00B62A54">
        <w:t>[4]</w:t>
      </w:r>
      <w:r w:rsidRPr="00877C19">
        <w:t xml:space="preserve">). According to </w:t>
      </w:r>
      <w:r w:rsidR="00247009">
        <w:t>the authors' findings ([6]), Industry 4.0 tools and platforms improve the quality of education</w:t>
      </w:r>
      <w:r w:rsidRPr="00877C19">
        <w:t xml:space="preserve"> and ensuring the quality of education is a paramount objective for each university. Consequently, the ongoing enhancements in higher education quality necessitate the obligatory measurement of the quality of higher education services</w:t>
      </w:r>
      <w:r>
        <w:t xml:space="preserve"> </w:t>
      </w:r>
      <w:r w:rsidR="00FC6C44" w:rsidRPr="00FC6C44">
        <w:t>(</w:t>
      </w:r>
      <w:r w:rsidR="006A0029">
        <w:t>[7]</w:t>
      </w:r>
      <w:r w:rsidR="00FC6C44" w:rsidRPr="00FC6C44">
        <w:t xml:space="preserve">). The most known measurements of the quality of </w:t>
      </w:r>
      <w:r w:rsidR="008E46BC">
        <w:t>Higher Education Institutions (</w:t>
      </w:r>
      <w:r w:rsidR="00FC6C44" w:rsidRPr="00FC6C44">
        <w:t>HEIs</w:t>
      </w:r>
      <w:r w:rsidR="008E46BC">
        <w:t>)</w:t>
      </w:r>
      <w:r w:rsidR="00FC6C44" w:rsidRPr="00FC6C44">
        <w:t xml:space="preserve"> are five quality dimensions. First, "Reliability" refers to the capability to deliver the promised service consistently and accurately (</w:t>
      </w:r>
      <w:r w:rsidR="006A0029">
        <w:t>[8]</w:t>
      </w:r>
      <w:r w:rsidR="00FC6C44" w:rsidRPr="00FC6C44">
        <w:t>;</w:t>
      </w:r>
      <w:r w:rsidR="006A0029">
        <w:t xml:space="preserve"> [9]</w:t>
      </w:r>
      <w:r w:rsidR="00FC6C44" w:rsidRPr="00FC6C44">
        <w:t>). According to the same authors (</w:t>
      </w:r>
      <w:r w:rsidR="00247009">
        <w:t>[8]; [9]</w:t>
      </w:r>
      <w:r w:rsidR="00FC6C44" w:rsidRPr="00FC6C44">
        <w:t>), the following quality dimensions are defined. "Responsiveness" pertains to the readiness and eagerness to assist customers, offering swift and timely service. Thirdly, the "tangibles" dimension pertains to the physical facilities, equipment, and personnel appearance. The "assurance" dimension encompasses the knowledge and courtesy of employees and their ability to inspire trust and confidence. Finally, “Empathy" is characterized by a firm's caring and individualized attention to its customers.</w:t>
      </w:r>
      <w:r w:rsidR="00B84FF1" w:rsidRPr="00B84FF1">
        <w:t xml:space="preserve"> </w:t>
      </w:r>
    </w:p>
    <w:p w14:paraId="0ED446AF" w14:textId="0D7B0D35" w:rsidR="00B84FF1" w:rsidRDefault="00B84FF1" w:rsidP="00B84FF1">
      <w:pPr>
        <w:pStyle w:val="ii-text"/>
      </w:pPr>
      <w:r>
        <w:t xml:space="preserve">Quality dimensions in HEIs have been widely analysed. Choubey and Bapat (2020) investigated student perceptions in online classes [12]. Students enrolled in various online platforms were requested to assess their views and expectations using a SERVQUAL scale for quality dimensions. A total of 312 graduate and postgraduate students from numerous institutes in Indore participated in the study. Confirmatory factor analysis was employed to evaluate the appropriateness of the SERVQUAL model, </w:t>
      </w:r>
      <w:r>
        <w:lastRenderedPageBreak/>
        <w:t xml:space="preserve">while paired t-tests were conducted to examine variances in perception and expectation. The findings indicate significant gaps in service quality perception, suggesting substantial improvements are necessary before online education can be formalized. A prominent concern highlighted was the perceived inadequacy in service quality [12]. Another study reassessed the nine components of the Values-Enhanced Technology Adoption (VETA) model, which incorporates individual values in technology acceptance modelling [13]. Findings reveal that quality dimensions in HEIs, such as effort expectancy, hedonic motivation, price value, habit, security, tradition, conformity, achievement, power, and hedonism, play a causal role in influencing performance expectancy, behavioural </w:t>
      </w:r>
      <w:proofErr w:type="gramStart"/>
      <w:r>
        <w:t>intention</w:t>
      </w:r>
      <w:proofErr w:type="gramEnd"/>
      <w:r>
        <w:t xml:space="preserve"> and social influence. Through a decision-making trial and evaluation laboratory (DEMATEL), the study maps and </w:t>
      </w:r>
      <w:proofErr w:type="spellStart"/>
      <w:r>
        <w:t>analyzes</w:t>
      </w:r>
      <w:proofErr w:type="spellEnd"/>
      <w:r>
        <w:t xml:space="preserve"> the causal relationships among these constructs, presenting some variations from recent empirical findings. Additionally, the perception of self-achievement among academics emerges as a significant driver for the adoption of e-learning. These findings hold importance in the context of the evolving literature on COVID-19 and education, particularly in guiding the development of strategies and interventions aimed at enhancing e-learning initiatives [13].</w:t>
      </w:r>
      <w:r w:rsidR="00880C20">
        <w:t xml:space="preserve"> </w:t>
      </w:r>
      <w:r w:rsidR="00880C20" w:rsidRPr="00880C20">
        <w:t>One more research delves into the multidimensional measurement model of higher education quality within the context of Industry 4.0. [14] It examines measurement approaches that consider multiple stakeholders' perspectives, encompassing both functional and technical quality dimensions, with the objective of supporting the commercialization trend in higher education while preserving its traditional mission. The findings indicate that the quality model of HEIs now incorporates both functional and technical dimensions, covering areas such as output, critical thinking and problem-solving, organizing and managing ability, adaptability, lifelong learning, teaching process, creativity and innovation, expertise and digitalization, administrative process, learning process, foreign language, and input [14].</w:t>
      </w:r>
    </w:p>
    <w:p w14:paraId="010DF8A9" w14:textId="57FC77F6" w:rsidR="00FC6C44" w:rsidRDefault="00B84FF1" w:rsidP="001263B7">
      <w:pPr>
        <w:pStyle w:val="ii-text"/>
      </w:pPr>
      <w:r>
        <w:t xml:space="preserve">Based on the previous studies, the </w:t>
      </w:r>
      <w:r w:rsidR="00FC6C44" w:rsidRPr="00FC6C44">
        <w:t>objective of this paper is to establish a metric tool for assessing quality parameters, particularly in online higher education. This involves considering factors like tangibility, reliability, preparedness, assurance of digital platforms, and the empathetic utilization of these platforms and their correlations to increase the quality of education in the conditions of Industry 4.0. Understanding the results can be crucial for educators, institutions, and policymakers in shaping and enhancing online higher education experiences.</w:t>
      </w:r>
    </w:p>
    <w:p w14:paraId="462F5B64" w14:textId="666B4B64" w:rsidR="00B84FF1" w:rsidRPr="00FC6C44" w:rsidRDefault="00B84FF1" w:rsidP="001263B7">
      <w:pPr>
        <w:pStyle w:val="ii-text"/>
      </w:pPr>
      <w:r w:rsidRPr="00B84FF1">
        <w:t>The paper is divided into five parts. After the introduction, which contains a brief review of the literature, follows a description of the methodology used in the paper. Then, the results and conclusions are presented. Finally, a list of used literature is given.</w:t>
      </w:r>
    </w:p>
    <w:p w14:paraId="7D3A0D1A" w14:textId="590A73EC" w:rsidR="004D3018" w:rsidRPr="00FC5AE7" w:rsidRDefault="004D3018" w:rsidP="00FC6C44">
      <w:pPr>
        <w:pStyle w:val="Heading1"/>
        <w:rPr>
          <w:lang w:val="en-GB"/>
        </w:rPr>
      </w:pPr>
      <w:r w:rsidRPr="00FC5AE7">
        <w:rPr>
          <w:lang w:val="en-GB"/>
        </w:rPr>
        <w:t>METHODOLOGY</w:t>
      </w:r>
    </w:p>
    <w:p w14:paraId="2CFE5CE5" w14:textId="695B17CF" w:rsidR="007C7037" w:rsidRPr="007C7037" w:rsidRDefault="007C7037" w:rsidP="001263B7">
      <w:pPr>
        <w:pStyle w:val="ii-text"/>
        <w:rPr>
          <w:b/>
          <w:bCs/>
          <w:caps/>
        </w:rPr>
      </w:pPr>
      <w:r w:rsidRPr="007C7037">
        <w:t>In this paper, a survey was conducted through a questionnaire to collect quantitative data to evaluate the quality of digital platforms in higher education. The questionnaire was created by modifying the existing questionnaire from the literature (</w:t>
      </w:r>
      <w:r w:rsidR="00247009">
        <w:t>[8]</w:t>
      </w:r>
      <w:r w:rsidRPr="007C7037">
        <w:t>) to suit the research requirements. This research used quality factors such as tangibility, reliability, readiness and security of digital platforms, and empathy in their use.</w:t>
      </w:r>
    </w:p>
    <w:p w14:paraId="390DACF6" w14:textId="52A1B0EF" w:rsidR="00596A51" w:rsidRPr="00596A51" w:rsidRDefault="007C7037" w:rsidP="001263B7">
      <w:pPr>
        <w:pStyle w:val="ii-text"/>
      </w:pPr>
      <w:r w:rsidRPr="007C7037">
        <w:t>The responses were received through an online survey created on a Public Platform, “Google INC: Google Docs”. In the research, 219 students from various faculties of the University of Belgrade participated. Respondents expressed their opinions toward the quality of digital platforms and distance learning with five groups of questions using a five-point Likert scale where responses from 1-strongly disagree to 5- strongly agree.</w:t>
      </w:r>
      <w:r>
        <w:t xml:space="preserve"> </w:t>
      </w:r>
      <w:r w:rsidR="00596A51" w:rsidRPr="00596A51">
        <w:t xml:space="preserve">The collected data were processed using the software </w:t>
      </w:r>
      <w:proofErr w:type="spellStart"/>
      <w:proofErr w:type="gramStart"/>
      <w:r w:rsidR="00596A51" w:rsidRPr="00596A51">
        <w:t>package.SPSS</w:t>
      </w:r>
      <w:proofErr w:type="spellEnd"/>
      <w:proofErr w:type="gramEnd"/>
      <w:r w:rsidR="00596A51" w:rsidRPr="00596A51">
        <w:t xml:space="preserve"> v.21</w:t>
      </w:r>
      <w:r w:rsidR="00596A51">
        <w:t>.</w:t>
      </w:r>
      <w:r w:rsidR="00596A51" w:rsidRPr="00596A51">
        <w:t xml:space="preserve"> Descriptive statistics, Correlation analysis and Exploratory Factor Analysis (EFA) were used to obtain the results.</w:t>
      </w:r>
    </w:p>
    <w:p w14:paraId="4A57AE83" w14:textId="32CFE7E6" w:rsidR="00A41430" w:rsidRPr="00A41430" w:rsidRDefault="00A41430" w:rsidP="00A41430">
      <w:pPr>
        <w:pStyle w:val="Heading1"/>
      </w:pPr>
      <w:r w:rsidRPr="00FC5AE7">
        <w:t>RESULTS</w:t>
      </w:r>
    </w:p>
    <w:p w14:paraId="59847E41" w14:textId="77777777" w:rsidR="00BB4E02" w:rsidRPr="00BB4E02" w:rsidRDefault="00BB4E02" w:rsidP="001263B7">
      <w:pPr>
        <w:pStyle w:val="ii-text"/>
        <w:rPr>
          <w:b/>
          <w:bCs/>
          <w:caps/>
        </w:rPr>
      </w:pPr>
      <w:r w:rsidRPr="00BB4E02">
        <w:t>Descriptive analysis showed that the largest number of respondents (73.5%) were in the second year of study, then (24.7%) respondents were in the third year of study, and only (1.8%) were in the first year of study. Fourth-year students were excluded from the research due to the impossibility of assessing the quality of digital platforms in the final year of study.</w:t>
      </w:r>
    </w:p>
    <w:p w14:paraId="41571901" w14:textId="03E5D334" w:rsidR="007C7037" w:rsidRDefault="00BB4E02" w:rsidP="001263B7">
      <w:pPr>
        <w:pStyle w:val="ii-text"/>
        <w:rPr>
          <w:b/>
          <w:bCs/>
          <w:caps/>
        </w:rPr>
      </w:pPr>
      <w:r w:rsidRPr="00BB4E02">
        <w:t>Following, most respondents (85.4%) have experience using digital platforms in education between 1 and 2 years, then experience between 2 and 4 years (13.3%), and experience less than 1 year (2.3%). In conclusion, most respondents quickly adopt new education technologies, indicating a tendency to follow trends.</w:t>
      </w:r>
    </w:p>
    <w:p w14:paraId="7CE4FB9F" w14:textId="791BF02D" w:rsidR="00A41430" w:rsidRPr="00BB4E02" w:rsidRDefault="00CC2449" w:rsidP="001263B7">
      <w:pPr>
        <w:pStyle w:val="ii-text"/>
        <w:rPr>
          <w:b/>
          <w:bCs/>
          <w:caps/>
        </w:rPr>
      </w:pPr>
      <w:r>
        <w:lastRenderedPageBreak/>
        <w:t>A correlation analysis was performed to determine whether there is a quantitative agreement between the variables</w:t>
      </w:r>
      <w:r w:rsidR="00A41430" w:rsidRPr="00BB4E02">
        <w:t xml:space="preserve">. The values of the correlation analysis (Table 1) indicate that </w:t>
      </w:r>
      <w:proofErr w:type="gramStart"/>
      <w:r w:rsidR="00A41430" w:rsidRPr="00BB4E02">
        <w:t>all of</w:t>
      </w:r>
      <w:proofErr w:type="gramEnd"/>
      <w:r w:rsidR="00A41430" w:rsidRPr="00BB4E02">
        <w:t xml:space="preserve"> the correlation coefficients have a value greater than 0.3, with the existence of a statistically significant mutual relationship between all groups of questions (p-value=0.01) (</w:t>
      </w:r>
      <w:proofErr w:type="spellStart"/>
      <w:r w:rsidR="00A41430" w:rsidRPr="00BB4E02">
        <w:t>Coakes</w:t>
      </w:r>
      <w:proofErr w:type="spellEnd"/>
      <w:r w:rsidR="00A41430" w:rsidRPr="00BB4E02">
        <w:t>, 2013).</w:t>
      </w:r>
    </w:p>
    <w:p w14:paraId="4D78D808" w14:textId="0A463FEC" w:rsidR="00A41430" w:rsidRPr="00BB4E02" w:rsidRDefault="00A41430" w:rsidP="001263B7">
      <w:pPr>
        <w:pStyle w:val="ii-ttab"/>
      </w:pPr>
      <w:r w:rsidRPr="00BB4E02">
        <w:t>Table 1</w:t>
      </w:r>
      <w:r w:rsidR="00BB4E02" w:rsidRPr="00BB4E02">
        <w:t>.</w:t>
      </w:r>
      <w:r w:rsidRPr="00BB4E02">
        <w:t xml:space="preserve"> Correlation matrix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1159"/>
        <w:gridCol w:w="1107"/>
        <w:gridCol w:w="1160"/>
        <w:gridCol w:w="1181"/>
        <w:gridCol w:w="1012"/>
      </w:tblGrid>
      <w:tr w:rsidR="00A41430" w:rsidRPr="003271AE" w14:paraId="6E612D0B" w14:textId="77777777" w:rsidTr="001263B7">
        <w:trPr>
          <w:cantSplit/>
          <w:jc w:val="center"/>
        </w:trPr>
        <w:tc>
          <w:tcPr>
            <w:tcW w:w="0" w:type="auto"/>
            <w:tcBorders>
              <w:top w:val="single" w:sz="12" w:space="0" w:color="auto"/>
              <w:bottom w:val="single" w:sz="12" w:space="0" w:color="auto"/>
              <w:right w:val="single" w:sz="4" w:space="0" w:color="auto"/>
            </w:tcBorders>
            <w:vAlign w:val="center"/>
          </w:tcPr>
          <w:p w14:paraId="300483D9" w14:textId="77777777" w:rsidR="00A41430" w:rsidRPr="00BB4E02" w:rsidRDefault="00A41430" w:rsidP="001263B7">
            <w:pPr>
              <w:pStyle w:val="ii-ttabTit"/>
            </w:pPr>
            <w:r w:rsidRPr="00BB4E02">
              <w:t>Construct</w:t>
            </w:r>
          </w:p>
        </w:tc>
        <w:tc>
          <w:tcPr>
            <w:tcW w:w="0" w:type="auto"/>
            <w:tcBorders>
              <w:top w:val="single" w:sz="12" w:space="0" w:color="auto"/>
              <w:left w:val="single" w:sz="4" w:space="0" w:color="auto"/>
              <w:bottom w:val="single" w:sz="12" w:space="0" w:color="auto"/>
              <w:right w:val="single" w:sz="4" w:space="0" w:color="auto"/>
            </w:tcBorders>
            <w:vAlign w:val="center"/>
          </w:tcPr>
          <w:p w14:paraId="3842E69C" w14:textId="77777777" w:rsidR="00A41430" w:rsidRPr="00BB4E02" w:rsidRDefault="00A41430" w:rsidP="001263B7">
            <w:pPr>
              <w:pStyle w:val="ii-ttabTit"/>
            </w:pPr>
            <w:r w:rsidRPr="00BB4E02">
              <w:t>Tangibility</w:t>
            </w:r>
          </w:p>
        </w:tc>
        <w:tc>
          <w:tcPr>
            <w:tcW w:w="0" w:type="auto"/>
            <w:tcBorders>
              <w:top w:val="single" w:sz="12" w:space="0" w:color="auto"/>
              <w:left w:val="single" w:sz="4" w:space="0" w:color="auto"/>
              <w:bottom w:val="single" w:sz="12" w:space="0" w:color="auto"/>
              <w:right w:val="single" w:sz="4" w:space="0" w:color="auto"/>
            </w:tcBorders>
            <w:vAlign w:val="center"/>
          </w:tcPr>
          <w:p w14:paraId="7995D326" w14:textId="77777777" w:rsidR="00A41430" w:rsidRPr="00BB4E02" w:rsidRDefault="00A41430" w:rsidP="001263B7">
            <w:pPr>
              <w:pStyle w:val="ii-ttabTit"/>
            </w:pPr>
            <w:r w:rsidRPr="00BB4E02">
              <w:t>Reliability</w:t>
            </w:r>
          </w:p>
        </w:tc>
        <w:tc>
          <w:tcPr>
            <w:tcW w:w="0" w:type="auto"/>
            <w:tcBorders>
              <w:top w:val="single" w:sz="12" w:space="0" w:color="auto"/>
              <w:left w:val="single" w:sz="4" w:space="0" w:color="auto"/>
              <w:bottom w:val="single" w:sz="12" w:space="0" w:color="auto"/>
              <w:right w:val="single" w:sz="4" w:space="0" w:color="auto"/>
            </w:tcBorders>
            <w:vAlign w:val="center"/>
          </w:tcPr>
          <w:p w14:paraId="03D248E7" w14:textId="77777777" w:rsidR="00A41430" w:rsidRPr="00BB4E02" w:rsidRDefault="00A41430" w:rsidP="001263B7">
            <w:pPr>
              <w:pStyle w:val="ii-ttabTit"/>
            </w:pPr>
            <w:r w:rsidRPr="00BB4E02">
              <w:t>Readiness</w:t>
            </w:r>
          </w:p>
        </w:tc>
        <w:tc>
          <w:tcPr>
            <w:tcW w:w="0" w:type="auto"/>
            <w:tcBorders>
              <w:top w:val="single" w:sz="12" w:space="0" w:color="auto"/>
              <w:left w:val="single" w:sz="4" w:space="0" w:color="auto"/>
              <w:bottom w:val="single" w:sz="12" w:space="0" w:color="auto"/>
            </w:tcBorders>
            <w:vAlign w:val="center"/>
          </w:tcPr>
          <w:p w14:paraId="35436F34" w14:textId="77777777" w:rsidR="00A41430" w:rsidRPr="00BB4E02" w:rsidRDefault="00A41430" w:rsidP="001263B7">
            <w:pPr>
              <w:pStyle w:val="ii-ttabTit"/>
            </w:pPr>
            <w:r w:rsidRPr="00BB4E02">
              <w:t>Assurance</w:t>
            </w:r>
          </w:p>
        </w:tc>
        <w:tc>
          <w:tcPr>
            <w:tcW w:w="0" w:type="auto"/>
            <w:tcBorders>
              <w:top w:val="single" w:sz="12" w:space="0" w:color="auto"/>
              <w:left w:val="single" w:sz="4" w:space="0" w:color="auto"/>
              <w:bottom w:val="single" w:sz="12" w:space="0" w:color="auto"/>
            </w:tcBorders>
            <w:vAlign w:val="center"/>
          </w:tcPr>
          <w:p w14:paraId="770DFAF3" w14:textId="51E85B0F" w:rsidR="00A41430" w:rsidRPr="00BB4E02" w:rsidRDefault="00CC2449" w:rsidP="001263B7">
            <w:pPr>
              <w:pStyle w:val="ii-ttabTit"/>
            </w:pPr>
            <w:r w:rsidRPr="00CC2449">
              <w:t>Empathy</w:t>
            </w:r>
          </w:p>
        </w:tc>
      </w:tr>
      <w:tr w:rsidR="00A41430" w:rsidRPr="003271AE" w14:paraId="36F1F566" w14:textId="77777777" w:rsidTr="001263B7">
        <w:trPr>
          <w:cantSplit/>
          <w:jc w:val="center"/>
        </w:trPr>
        <w:tc>
          <w:tcPr>
            <w:tcW w:w="0" w:type="auto"/>
            <w:tcBorders>
              <w:top w:val="single" w:sz="12" w:space="0" w:color="auto"/>
              <w:right w:val="single" w:sz="4" w:space="0" w:color="auto"/>
            </w:tcBorders>
            <w:vAlign w:val="center"/>
          </w:tcPr>
          <w:p w14:paraId="2109E713" w14:textId="77777777" w:rsidR="00A41430" w:rsidRPr="00BB4E02" w:rsidRDefault="00A41430" w:rsidP="001263B7">
            <w:pPr>
              <w:pStyle w:val="ii-ttabt42"/>
            </w:pPr>
            <w:r w:rsidRPr="00BB4E02">
              <w:t>Tangibility</w:t>
            </w:r>
          </w:p>
        </w:tc>
        <w:tc>
          <w:tcPr>
            <w:tcW w:w="0" w:type="auto"/>
            <w:tcBorders>
              <w:top w:val="single" w:sz="12" w:space="0" w:color="auto"/>
              <w:left w:val="single" w:sz="4" w:space="0" w:color="auto"/>
              <w:right w:val="single" w:sz="4" w:space="0" w:color="auto"/>
            </w:tcBorders>
            <w:vAlign w:val="center"/>
          </w:tcPr>
          <w:p w14:paraId="13F282EC" w14:textId="77777777" w:rsidR="00A41430" w:rsidRPr="00BB4E02" w:rsidRDefault="00A41430" w:rsidP="001263B7">
            <w:pPr>
              <w:pStyle w:val="ii-ttabt42"/>
            </w:pPr>
            <w:r w:rsidRPr="00BB4E02">
              <w:t>1</w:t>
            </w:r>
          </w:p>
        </w:tc>
        <w:tc>
          <w:tcPr>
            <w:tcW w:w="0" w:type="auto"/>
            <w:tcBorders>
              <w:top w:val="single" w:sz="12" w:space="0" w:color="auto"/>
              <w:left w:val="single" w:sz="4" w:space="0" w:color="auto"/>
              <w:right w:val="single" w:sz="4" w:space="0" w:color="auto"/>
            </w:tcBorders>
            <w:vAlign w:val="center"/>
          </w:tcPr>
          <w:p w14:paraId="599541FE" w14:textId="77777777" w:rsidR="00A41430" w:rsidRPr="00BB4E02" w:rsidRDefault="00A41430" w:rsidP="001263B7">
            <w:pPr>
              <w:pStyle w:val="ii-ttabt42"/>
            </w:pPr>
          </w:p>
        </w:tc>
        <w:tc>
          <w:tcPr>
            <w:tcW w:w="0" w:type="auto"/>
            <w:tcBorders>
              <w:top w:val="single" w:sz="12" w:space="0" w:color="auto"/>
              <w:left w:val="single" w:sz="4" w:space="0" w:color="auto"/>
              <w:right w:val="single" w:sz="4" w:space="0" w:color="auto"/>
            </w:tcBorders>
            <w:vAlign w:val="center"/>
          </w:tcPr>
          <w:p w14:paraId="4E119832" w14:textId="77777777" w:rsidR="00A41430" w:rsidRPr="00BB4E02" w:rsidRDefault="00A41430" w:rsidP="001263B7">
            <w:pPr>
              <w:pStyle w:val="ii-ttabt42"/>
            </w:pPr>
          </w:p>
        </w:tc>
        <w:tc>
          <w:tcPr>
            <w:tcW w:w="0" w:type="auto"/>
            <w:tcBorders>
              <w:top w:val="single" w:sz="12" w:space="0" w:color="auto"/>
              <w:left w:val="single" w:sz="4" w:space="0" w:color="auto"/>
            </w:tcBorders>
            <w:vAlign w:val="center"/>
          </w:tcPr>
          <w:p w14:paraId="140897B9" w14:textId="77777777" w:rsidR="00A41430" w:rsidRPr="00BB4E02" w:rsidRDefault="00A41430" w:rsidP="001263B7">
            <w:pPr>
              <w:pStyle w:val="ii-ttabt42"/>
            </w:pPr>
          </w:p>
        </w:tc>
        <w:tc>
          <w:tcPr>
            <w:tcW w:w="0" w:type="auto"/>
            <w:tcBorders>
              <w:top w:val="single" w:sz="12" w:space="0" w:color="auto"/>
              <w:left w:val="single" w:sz="4" w:space="0" w:color="auto"/>
            </w:tcBorders>
            <w:vAlign w:val="center"/>
          </w:tcPr>
          <w:p w14:paraId="28B15AB7" w14:textId="77777777" w:rsidR="00A41430" w:rsidRPr="00BB4E02" w:rsidRDefault="00A41430" w:rsidP="001263B7">
            <w:pPr>
              <w:pStyle w:val="ii-ttabt42"/>
            </w:pPr>
          </w:p>
        </w:tc>
      </w:tr>
      <w:tr w:rsidR="00A41430" w:rsidRPr="003271AE" w14:paraId="4CD604A6" w14:textId="77777777" w:rsidTr="001263B7">
        <w:trPr>
          <w:cantSplit/>
          <w:jc w:val="center"/>
        </w:trPr>
        <w:tc>
          <w:tcPr>
            <w:tcW w:w="0" w:type="auto"/>
            <w:tcBorders>
              <w:right w:val="single" w:sz="4" w:space="0" w:color="auto"/>
            </w:tcBorders>
            <w:vAlign w:val="center"/>
          </w:tcPr>
          <w:p w14:paraId="7B601880" w14:textId="77777777" w:rsidR="00A41430" w:rsidRPr="00BB4E02" w:rsidRDefault="00A41430" w:rsidP="001263B7">
            <w:pPr>
              <w:pStyle w:val="ii-ttabt42"/>
            </w:pPr>
            <w:r w:rsidRPr="00BB4E02">
              <w:t>Reliability</w:t>
            </w:r>
          </w:p>
        </w:tc>
        <w:tc>
          <w:tcPr>
            <w:tcW w:w="0" w:type="auto"/>
            <w:tcBorders>
              <w:left w:val="single" w:sz="4" w:space="0" w:color="auto"/>
              <w:right w:val="single" w:sz="4" w:space="0" w:color="auto"/>
            </w:tcBorders>
            <w:vAlign w:val="center"/>
          </w:tcPr>
          <w:p w14:paraId="3098ED86" w14:textId="77777777" w:rsidR="00A41430" w:rsidRPr="00BB4E02" w:rsidRDefault="00A41430" w:rsidP="001263B7">
            <w:pPr>
              <w:pStyle w:val="ii-ttabt42"/>
            </w:pPr>
            <w:r w:rsidRPr="00BB4E02">
              <w:t>,438**</w:t>
            </w:r>
          </w:p>
        </w:tc>
        <w:tc>
          <w:tcPr>
            <w:tcW w:w="0" w:type="auto"/>
            <w:tcBorders>
              <w:left w:val="single" w:sz="4" w:space="0" w:color="auto"/>
              <w:right w:val="single" w:sz="4" w:space="0" w:color="auto"/>
            </w:tcBorders>
            <w:vAlign w:val="center"/>
          </w:tcPr>
          <w:p w14:paraId="75DCED71" w14:textId="77777777" w:rsidR="00A41430" w:rsidRPr="00BB4E02" w:rsidRDefault="00A41430" w:rsidP="001263B7">
            <w:pPr>
              <w:pStyle w:val="ii-ttabt42"/>
            </w:pPr>
            <w:r w:rsidRPr="00BB4E02">
              <w:t>1</w:t>
            </w:r>
          </w:p>
        </w:tc>
        <w:tc>
          <w:tcPr>
            <w:tcW w:w="0" w:type="auto"/>
            <w:tcBorders>
              <w:left w:val="single" w:sz="4" w:space="0" w:color="auto"/>
              <w:right w:val="single" w:sz="4" w:space="0" w:color="auto"/>
            </w:tcBorders>
            <w:vAlign w:val="center"/>
          </w:tcPr>
          <w:p w14:paraId="378DF7FF" w14:textId="77777777" w:rsidR="00A41430" w:rsidRPr="00BB4E02" w:rsidRDefault="00A41430" w:rsidP="001263B7">
            <w:pPr>
              <w:pStyle w:val="ii-ttabt42"/>
            </w:pPr>
          </w:p>
        </w:tc>
        <w:tc>
          <w:tcPr>
            <w:tcW w:w="0" w:type="auto"/>
            <w:tcBorders>
              <w:left w:val="single" w:sz="4" w:space="0" w:color="auto"/>
            </w:tcBorders>
            <w:vAlign w:val="center"/>
          </w:tcPr>
          <w:p w14:paraId="5C6FB37F" w14:textId="77777777" w:rsidR="00A41430" w:rsidRPr="00BB4E02" w:rsidRDefault="00A41430" w:rsidP="001263B7">
            <w:pPr>
              <w:pStyle w:val="ii-ttabt42"/>
            </w:pPr>
          </w:p>
        </w:tc>
        <w:tc>
          <w:tcPr>
            <w:tcW w:w="0" w:type="auto"/>
            <w:tcBorders>
              <w:left w:val="single" w:sz="4" w:space="0" w:color="auto"/>
            </w:tcBorders>
            <w:vAlign w:val="center"/>
          </w:tcPr>
          <w:p w14:paraId="44460260" w14:textId="77777777" w:rsidR="00A41430" w:rsidRPr="00BB4E02" w:rsidRDefault="00A41430" w:rsidP="001263B7">
            <w:pPr>
              <w:pStyle w:val="ii-ttabt42"/>
            </w:pPr>
          </w:p>
        </w:tc>
      </w:tr>
      <w:tr w:rsidR="00A41430" w:rsidRPr="003271AE" w14:paraId="6283871D" w14:textId="77777777" w:rsidTr="001263B7">
        <w:trPr>
          <w:cantSplit/>
          <w:jc w:val="center"/>
        </w:trPr>
        <w:tc>
          <w:tcPr>
            <w:tcW w:w="0" w:type="auto"/>
            <w:tcBorders>
              <w:right w:val="single" w:sz="4" w:space="0" w:color="auto"/>
            </w:tcBorders>
            <w:vAlign w:val="center"/>
          </w:tcPr>
          <w:p w14:paraId="497D4419" w14:textId="77777777" w:rsidR="00A41430" w:rsidRPr="00BB4E02" w:rsidRDefault="00A41430" w:rsidP="001263B7">
            <w:pPr>
              <w:pStyle w:val="ii-ttabt42"/>
            </w:pPr>
            <w:r w:rsidRPr="00BB4E02">
              <w:t>Readiness</w:t>
            </w:r>
          </w:p>
        </w:tc>
        <w:tc>
          <w:tcPr>
            <w:tcW w:w="0" w:type="auto"/>
            <w:tcBorders>
              <w:left w:val="single" w:sz="4" w:space="0" w:color="auto"/>
              <w:right w:val="single" w:sz="4" w:space="0" w:color="auto"/>
            </w:tcBorders>
            <w:vAlign w:val="center"/>
          </w:tcPr>
          <w:p w14:paraId="65AA4D38" w14:textId="77777777" w:rsidR="00A41430" w:rsidRPr="00BB4E02" w:rsidRDefault="00A41430" w:rsidP="001263B7">
            <w:pPr>
              <w:pStyle w:val="ii-ttabt42"/>
            </w:pPr>
            <w:r w:rsidRPr="00BB4E02">
              <w:t>,355**</w:t>
            </w:r>
          </w:p>
        </w:tc>
        <w:tc>
          <w:tcPr>
            <w:tcW w:w="0" w:type="auto"/>
            <w:tcBorders>
              <w:left w:val="single" w:sz="4" w:space="0" w:color="auto"/>
              <w:right w:val="single" w:sz="4" w:space="0" w:color="auto"/>
            </w:tcBorders>
            <w:vAlign w:val="center"/>
          </w:tcPr>
          <w:p w14:paraId="51614AE3" w14:textId="77777777" w:rsidR="00A41430" w:rsidRPr="00BB4E02" w:rsidRDefault="00A41430" w:rsidP="001263B7">
            <w:pPr>
              <w:pStyle w:val="ii-ttabt42"/>
            </w:pPr>
            <w:r w:rsidRPr="00BB4E02">
              <w:t>,585**</w:t>
            </w:r>
          </w:p>
        </w:tc>
        <w:tc>
          <w:tcPr>
            <w:tcW w:w="0" w:type="auto"/>
            <w:tcBorders>
              <w:left w:val="single" w:sz="4" w:space="0" w:color="auto"/>
              <w:right w:val="single" w:sz="4" w:space="0" w:color="auto"/>
            </w:tcBorders>
            <w:vAlign w:val="center"/>
          </w:tcPr>
          <w:p w14:paraId="1C82D5BC" w14:textId="77777777" w:rsidR="00A41430" w:rsidRPr="00BB4E02" w:rsidRDefault="00A41430" w:rsidP="001263B7">
            <w:pPr>
              <w:pStyle w:val="ii-ttabt42"/>
            </w:pPr>
            <w:r w:rsidRPr="00BB4E02">
              <w:t>1</w:t>
            </w:r>
          </w:p>
        </w:tc>
        <w:tc>
          <w:tcPr>
            <w:tcW w:w="0" w:type="auto"/>
            <w:tcBorders>
              <w:left w:val="single" w:sz="4" w:space="0" w:color="auto"/>
            </w:tcBorders>
            <w:vAlign w:val="center"/>
          </w:tcPr>
          <w:p w14:paraId="624E5D05" w14:textId="77777777" w:rsidR="00A41430" w:rsidRPr="00BB4E02" w:rsidRDefault="00A41430" w:rsidP="001263B7">
            <w:pPr>
              <w:pStyle w:val="ii-ttabt42"/>
            </w:pPr>
          </w:p>
        </w:tc>
        <w:tc>
          <w:tcPr>
            <w:tcW w:w="0" w:type="auto"/>
            <w:tcBorders>
              <w:left w:val="single" w:sz="4" w:space="0" w:color="auto"/>
            </w:tcBorders>
            <w:vAlign w:val="center"/>
          </w:tcPr>
          <w:p w14:paraId="73536CD8" w14:textId="77777777" w:rsidR="00A41430" w:rsidRPr="00BB4E02" w:rsidRDefault="00A41430" w:rsidP="001263B7">
            <w:pPr>
              <w:pStyle w:val="ii-ttabt42"/>
            </w:pPr>
          </w:p>
        </w:tc>
      </w:tr>
      <w:tr w:rsidR="00A41430" w:rsidRPr="003271AE" w14:paraId="69E6D3A1" w14:textId="77777777" w:rsidTr="001263B7">
        <w:trPr>
          <w:cantSplit/>
          <w:jc w:val="center"/>
        </w:trPr>
        <w:tc>
          <w:tcPr>
            <w:tcW w:w="0" w:type="auto"/>
            <w:tcBorders>
              <w:right w:val="single" w:sz="4" w:space="0" w:color="auto"/>
            </w:tcBorders>
            <w:vAlign w:val="center"/>
          </w:tcPr>
          <w:p w14:paraId="6AE34C0F" w14:textId="77777777" w:rsidR="00A41430" w:rsidRPr="00BB4E02" w:rsidRDefault="00A41430" w:rsidP="001263B7">
            <w:pPr>
              <w:pStyle w:val="ii-ttabt42"/>
            </w:pPr>
            <w:r w:rsidRPr="00BB4E02">
              <w:t>Assurance</w:t>
            </w:r>
          </w:p>
        </w:tc>
        <w:tc>
          <w:tcPr>
            <w:tcW w:w="0" w:type="auto"/>
            <w:tcBorders>
              <w:left w:val="single" w:sz="4" w:space="0" w:color="auto"/>
              <w:right w:val="single" w:sz="4" w:space="0" w:color="auto"/>
            </w:tcBorders>
            <w:vAlign w:val="center"/>
          </w:tcPr>
          <w:p w14:paraId="2CE9C433" w14:textId="77777777" w:rsidR="00A41430" w:rsidRPr="00BB4E02" w:rsidRDefault="00A41430" w:rsidP="001263B7">
            <w:pPr>
              <w:pStyle w:val="ii-ttabt42"/>
            </w:pPr>
            <w:r w:rsidRPr="00BB4E02">
              <w:t>,285**</w:t>
            </w:r>
          </w:p>
        </w:tc>
        <w:tc>
          <w:tcPr>
            <w:tcW w:w="0" w:type="auto"/>
            <w:tcBorders>
              <w:left w:val="single" w:sz="4" w:space="0" w:color="auto"/>
              <w:right w:val="single" w:sz="4" w:space="0" w:color="auto"/>
            </w:tcBorders>
            <w:vAlign w:val="center"/>
          </w:tcPr>
          <w:p w14:paraId="1F18AFF9" w14:textId="77777777" w:rsidR="00A41430" w:rsidRPr="00BB4E02" w:rsidRDefault="00A41430" w:rsidP="001263B7">
            <w:pPr>
              <w:pStyle w:val="ii-ttabt42"/>
            </w:pPr>
            <w:r w:rsidRPr="00BB4E02">
              <w:t>,484**</w:t>
            </w:r>
          </w:p>
        </w:tc>
        <w:tc>
          <w:tcPr>
            <w:tcW w:w="0" w:type="auto"/>
            <w:tcBorders>
              <w:left w:val="single" w:sz="4" w:space="0" w:color="auto"/>
              <w:right w:val="single" w:sz="4" w:space="0" w:color="auto"/>
            </w:tcBorders>
            <w:vAlign w:val="center"/>
          </w:tcPr>
          <w:p w14:paraId="112395F6" w14:textId="77777777" w:rsidR="00A41430" w:rsidRPr="00BB4E02" w:rsidRDefault="00A41430" w:rsidP="001263B7">
            <w:pPr>
              <w:pStyle w:val="ii-ttabt42"/>
            </w:pPr>
            <w:r w:rsidRPr="00BB4E02">
              <w:t>,525**</w:t>
            </w:r>
          </w:p>
        </w:tc>
        <w:tc>
          <w:tcPr>
            <w:tcW w:w="0" w:type="auto"/>
            <w:tcBorders>
              <w:left w:val="single" w:sz="4" w:space="0" w:color="auto"/>
            </w:tcBorders>
            <w:vAlign w:val="center"/>
          </w:tcPr>
          <w:p w14:paraId="1D3CC22E" w14:textId="77777777" w:rsidR="00A41430" w:rsidRPr="00BB4E02" w:rsidRDefault="00A41430" w:rsidP="001263B7">
            <w:pPr>
              <w:pStyle w:val="ii-ttabt42"/>
            </w:pPr>
            <w:r w:rsidRPr="00BB4E02">
              <w:t>1</w:t>
            </w:r>
          </w:p>
        </w:tc>
        <w:tc>
          <w:tcPr>
            <w:tcW w:w="0" w:type="auto"/>
            <w:tcBorders>
              <w:left w:val="single" w:sz="4" w:space="0" w:color="auto"/>
            </w:tcBorders>
            <w:vAlign w:val="center"/>
          </w:tcPr>
          <w:p w14:paraId="3EF220F3" w14:textId="77777777" w:rsidR="00A41430" w:rsidRPr="00BB4E02" w:rsidRDefault="00A41430" w:rsidP="001263B7">
            <w:pPr>
              <w:pStyle w:val="ii-ttabt42"/>
            </w:pPr>
          </w:p>
        </w:tc>
      </w:tr>
      <w:tr w:rsidR="00A41430" w:rsidRPr="003271AE" w14:paraId="25CD8AC9" w14:textId="77777777" w:rsidTr="001263B7">
        <w:trPr>
          <w:cantSplit/>
          <w:jc w:val="center"/>
        </w:trPr>
        <w:tc>
          <w:tcPr>
            <w:tcW w:w="0" w:type="auto"/>
            <w:tcBorders>
              <w:bottom w:val="single" w:sz="12" w:space="0" w:color="auto"/>
              <w:right w:val="single" w:sz="4" w:space="0" w:color="auto"/>
            </w:tcBorders>
            <w:vAlign w:val="center"/>
          </w:tcPr>
          <w:p w14:paraId="5751C105" w14:textId="77777777" w:rsidR="00A41430" w:rsidRPr="00BB4E02" w:rsidRDefault="00A41430" w:rsidP="001263B7">
            <w:pPr>
              <w:pStyle w:val="ii-ttabt42"/>
            </w:pPr>
            <w:r w:rsidRPr="00BB4E02">
              <w:t>Empathy</w:t>
            </w:r>
          </w:p>
        </w:tc>
        <w:tc>
          <w:tcPr>
            <w:tcW w:w="0" w:type="auto"/>
            <w:tcBorders>
              <w:left w:val="single" w:sz="4" w:space="0" w:color="auto"/>
              <w:bottom w:val="single" w:sz="12" w:space="0" w:color="auto"/>
              <w:right w:val="single" w:sz="4" w:space="0" w:color="auto"/>
            </w:tcBorders>
            <w:vAlign w:val="center"/>
          </w:tcPr>
          <w:p w14:paraId="7666CE7B" w14:textId="77777777" w:rsidR="00A41430" w:rsidRPr="00BB4E02" w:rsidRDefault="00A41430" w:rsidP="001263B7">
            <w:pPr>
              <w:pStyle w:val="ii-ttabt42"/>
            </w:pPr>
            <w:r w:rsidRPr="00BB4E02">
              <w:t>,464**</w:t>
            </w:r>
          </w:p>
        </w:tc>
        <w:tc>
          <w:tcPr>
            <w:tcW w:w="0" w:type="auto"/>
            <w:tcBorders>
              <w:left w:val="single" w:sz="4" w:space="0" w:color="auto"/>
              <w:bottom w:val="single" w:sz="12" w:space="0" w:color="auto"/>
              <w:right w:val="single" w:sz="4" w:space="0" w:color="auto"/>
            </w:tcBorders>
            <w:vAlign w:val="center"/>
          </w:tcPr>
          <w:p w14:paraId="610C3393" w14:textId="77777777" w:rsidR="00A41430" w:rsidRPr="00BB4E02" w:rsidRDefault="00A41430" w:rsidP="001263B7">
            <w:pPr>
              <w:pStyle w:val="ii-ttabt42"/>
            </w:pPr>
            <w:r w:rsidRPr="00BB4E02">
              <w:t>,546**</w:t>
            </w:r>
          </w:p>
        </w:tc>
        <w:tc>
          <w:tcPr>
            <w:tcW w:w="0" w:type="auto"/>
            <w:tcBorders>
              <w:left w:val="single" w:sz="4" w:space="0" w:color="auto"/>
              <w:bottom w:val="single" w:sz="12" w:space="0" w:color="auto"/>
              <w:right w:val="single" w:sz="4" w:space="0" w:color="auto"/>
            </w:tcBorders>
            <w:vAlign w:val="center"/>
          </w:tcPr>
          <w:p w14:paraId="2C238803" w14:textId="77777777" w:rsidR="00A41430" w:rsidRPr="00BB4E02" w:rsidRDefault="00A41430" w:rsidP="001263B7">
            <w:pPr>
              <w:pStyle w:val="ii-ttabt42"/>
            </w:pPr>
            <w:r w:rsidRPr="00BB4E02">
              <w:t>,560**</w:t>
            </w:r>
          </w:p>
        </w:tc>
        <w:tc>
          <w:tcPr>
            <w:tcW w:w="0" w:type="auto"/>
            <w:tcBorders>
              <w:left w:val="single" w:sz="4" w:space="0" w:color="auto"/>
              <w:bottom w:val="single" w:sz="12" w:space="0" w:color="auto"/>
            </w:tcBorders>
            <w:vAlign w:val="center"/>
          </w:tcPr>
          <w:p w14:paraId="6A25AD5C" w14:textId="77777777" w:rsidR="00A41430" w:rsidRPr="00BB4E02" w:rsidRDefault="00A41430" w:rsidP="001263B7">
            <w:pPr>
              <w:pStyle w:val="ii-ttabt42"/>
            </w:pPr>
            <w:r w:rsidRPr="00BB4E02">
              <w:t>,593**</w:t>
            </w:r>
          </w:p>
        </w:tc>
        <w:tc>
          <w:tcPr>
            <w:tcW w:w="0" w:type="auto"/>
            <w:tcBorders>
              <w:left w:val="single" w:sz="4" w:space="0" w:color="auto"/>
              <w:bottom w:val="single" w:sz="12" w:space="0" w:color="auto"/>
            </w:tcBorders>
            <w:vAlign w:val="center"/>
          </w:tcPr>
          <w:p w14:paraId="42788D32" w14:textId="77777777" w:rsidR="00A41430" w:rsidRPr="00BB4E02" w:rsidRDefault="00A41430" w:rsidP="001263B7">
            <w:pPr>
              <w:pStyle w:val="ii-ttabt42"/>
            </w:pPr>
            <w:r w:rsidRPr="00BB4E02">
              <w:t>1</w:t>
            </w:r>
          </w:p>
        </w:tc>
      </w:tr>
    </w:tbl>
    <w:p w14:paraId="59520FC5" w14:textId="77777777" w:rsidR="00A41430" w:rsidRPr="00BB4E02" w:rsidRDefault="00A41430" w:rsidP="001263B7">
      <w:pPr>
        <w:pStyle w:val="ii-source"/>
      </w:pPr>
      <w:r w:rsidRPr="00BB4E02">
        <w:t>** Correlation is significant at the 0.01 level</w:t>
      </w:r>
    </w:p>
    <w:p w14:paraId="1C81B487" w14:textId="3327DE29" w:rsidR="00A41430" w:rsidRPr="00BB4E02" w:rsidRDefault="00A41430" w:rsidP="001263B7">
      <w:pPr>
        <w:pStyle w:val="ii-ttabtext"/>
        <w:rPr>
          <w:b/>
          <w:bCs/>
          <w:caps/>
        </w:rPr>
      </w:pPr>
      <w:r w:rsidRPr="00BB4E02">
        <w:t xml:space="preserve">After carrying out research, the obtained results were analysed with Exploratory Factor Analysis (EFA), Table 2. For exploratory factor analysis, Bartlett's test values were calculated, which is (X2=1740.699, </w:t>
      </w:r>
      <w:proofErr w:type="spellStart"/>
      <w:r w:rsidRPr="00BB4E02">
        <w:t>df</w:t>
      </w:r>
      <w:proofErr w:type="spellEnd"/>
      <w:r w:rsidRPr="00BB4E02">
        <w:t xml:space="preserve">= 300, p&lt;0.001), which indicates that there is interdependence between the observed variables, which is why the application of factor analysis is justified. It also confirms the value of the KMO indicator, which is 0.860, </w:t>
      </w:r>
      <w:r w:rsidR="00CC2449">
        <w:t>which is considered a good value for applying</w:t>
      </w:r>
      <w:r w:rsidRPr="00BB4E02">
        <w:t xml:space="preserve"> factor analysis.</w:t>
      </w:r>
    </w:p>
    <w:p w14:paraId="36F750DF" w14:textId="77777777" w:rsidR="00A41430" w:rsidRPr="00CC2449" w:rsidRDefault="00A41430" w:rsidP="001263B7">
      <w:pPr>
        <w:pStyle w:val="ii-text"/>
        <w:rPr>
          <w:b/>
          <w:bCs/>
          <w:caps/>
        </w:rPr>
      </w:pPr>
      <w:r w:rsidRPr="00BB4E02">
        <w:t>EFA is considered an extremely useful technique for reducing the amount of data and finding a way to reduce this initial amount of data using a smaller number of factors or components (Hair, 1998). This is done in a way that makes it possible to find clusters or groups in the intercorrelations of a set of variables. This research eliminated only one unrelated and cross-loading item from the first factor to identify the basic item structure.</w:t>
      </w:r>
    </w:p>
    <w:p w14:paraId="461E6EB4" w14:textId="77777777" w:rsidR="00A41430" w:rsidRPr="00CC2449" w:rsidRDefault="00A41430" w:rsidP="001263B7">
      <w:pPr>
        <w:pStyle w:val="ii-ttab"/>
        <w:rPr>
          <w:bCs/>
        </w:rPr>
      </w:pPr>
      <w:r w:rsidRPr="00CC2449">
        <w:t xml:space="preserve">Table 2. Factor loadings for digital </w:t>
      </w:r>
      <w:proofErr w:type="gramStart"/>
      <w:r w:rsidRPr="00CC2449">
        <w:t>platform</w:t>
      </w:r>
      <w:proofErr w:type="gramEnd"/>
    </w:p>
    <w:tbl>
      <w:tblPr>
        <w:tblStyle w:val="LightShading"/>
        <w:tblW w:w="0" w:type="auto"/>
        <w:jc w:val="center"/>
        <w:tblLook w:val="0620" w:firstRow="1" w:lastRow="0" w:firstColumn="0" w:lastColumn="0" w:noHBand="1" w:noVBand="1"/>
      </w:tblPr>
      <w:tblGrid>
        <w:gridCol w:w="1058"/>
        <w:gridCol w:w="755"/>
        <w:gridCol w:w="1059"/>
        <w:gridCol w:w="756"/>
        <w:gridCol w:w="1059"/>
        <w:gridCol w:w="756"/>
        <w:gridCol w:w="1059"/>
        <w:gridCol w:w="756"/>
        <w:gridCol w:w="1059"/>
        <w:gridCol w:w="756"/>
      </w:tblGrid>
      <w:tr w:rsidR="00A41430" w:rsidRPr="001263B7" w14:paraId="60772284" w14:textId="77777777" w:rsidTr="001263B7">
        <w:trPr>
          <w:cnfStyle w:val="100000000000" w:firstRow="1" w:lastRow="0" w:firstColumn="0" w:lastColumn="0" w:oddVBand="0" w:evenVBand="0" w:oddHBand="0" w:evenHBand="0" w:firstRowFirstColumn="0" w:firstRowLastColumn="0" w:lastRowFirstColumn="0" w:lastRowLastColumn="0"/>
          <w:cantSplit/>
          <w:jc w:val="center"/>
        </w:trPr>
        <w:tc>
          <w:tcPr>
            <w:tcW w:w="0" w:type="auto"/>
            <w:gridSpan w:val="2"/>
            <w:tcBorders>
              <w:top w:val="single" w:sz="12" w:space="0" w:color="auto"/>
              <w:bottom w:val="single" w:sz="12" w:space="0" w:color="auto"/>
              <w:right w:val="single" w:sz="4" w:space="0" w:color="auto"/>
            </w:tcBorders>
            <w:vAlign w:val="center"/>
          </w:tcPr>
          <w:p w14:paraId="1889DBBD" w14:textId="77777777" w:rsidR="00A41430" w:rsidRPr="001263B7" w:rsidRDefault="00A41430" w:rsidP="001263B7">
            <w:pPr>
              <w:pStyle w:val="ii-ttabTit"/>
              <w:rPr>
                <w:b/>
                <w:bCs w:val="0"/>
              </w:rPr>
            </w:pPr>
            <w:r w:rsidRPr="001263B7">
              <w:rPr>
                <w:b/>
                <w:bCs w:val="0"/>
              </w:rPr>
              <w:t>Tangibility</w:t>
            </w:r>
          </w:p>
        </w:tc>
        <w:tc>
          <w:tcPr>
            <w:tcW w:w="0" w:type="auto"/>
            <w:gridSpan w:val="2"/>
            <w:tcBorders>
              <w:top w:val="single" w:sz="12" w:space="0" w:color="auto"/>
              <w:left w:val="single" w:sz="4" w:space="0" w:color="auto"/>
              <w:bottom w:val="single" w:sz="12" w:space="0" w:color="auto"/>
              <w:right w:val="single" w:sz="4" w:space="0" w:color="auto"/>
            </w:tcBorders>
            <w:vAlign w:val="center"/>
          </w:tcPr>
          <w:p w14:paraId="7BBFAE29" w14:textId="77777777" w:rsidR="00A41430" w:rsidRPr="001263B7" w:rsidRDefault="00A41430" w:rsidP="001263B7">
            <w:pPr>
              <w:pStyle w:val="ii-ttabTit"/>
              <w:rPr>
                <w:b/>
                <w:bCs w:val="0"/>
              </w:rPr>
            </w:pPr>
            <w:r w:rsidRPr="001263B7">
              <w:rPr>
                <w:b/>
                <w:bCs w:val="0"/>
              </w:rPr>
              <w:t xml:space="preserve">Reliability </w:t>
            </w:r>
          </w:p>
        </w:tc>
        <w:tc>
          <w:tcPr>
            <w:tcW w:w="0" w:type="auto"/>
            <w:gridSpan w:val="2"/>
            <w:tcBorders>
              <w:top w:val="single" w:sz="12" w:space="0" w:color="auto"/>
              <w:left w:val="single" w:sz="4" w:space="0" w:color="auto"/>
              <w:bottom w:val="single" w:sz="12" w:space="0" w:color="auto"/>
              <w:right w:val="single" w:sz="4" w:space="0" w:color="auto"/>
            </w:tcBorders>
            <w:vAlign w:val="center"/>
          </w:tcPr>
          <w:p w14:paraId="03894632" w14:textId="77777777" w:rsidR="00A41430" w:rsidRPr="001263B7" w:rsidRDefault="00A41430" w:rsidP="001263B7">
            <w:pPr>
              <w:pStyle w:val="ii-ttabTit"/>
              <w:rPr>
                <w:b/>
                <w:bCs w:val="0"/>
              </w:rPr>
            </w:pPr>
            <w:r w:rsidRPr="001263B7">
              <w:rPr>
                <w:b/>
                <w:bCs w:val="0"/>
              </w:rPr>
              <w:t xml:space="preserve">Readiness </w:t>
            </w:r>
          </w:p>
        </w:tc>
        <w:tc>
          <w:tcPr>
            <w:tcW w:w="0" w:type="auto"/>
            <w:gridSpan w:val="2"/>
            <w:tcBorders>
              <w:top w:val="single" w:sz="12" w:space="0" w:color="auto"/>
              <w:left w:val="single" w:sz="4" w:space="0" w:color="auto"/>
              <w:bottom w:val="single" w:sz="12" w:space="0" w:color="auto"/>
              <w:right w:val="single" w:sz="4" w:space="0" w:color="auto"/>
            </w:tcBorders>
            <w:vAlign w:val="center"/>
          </w:tcPr>
          <w:p w14:paraId="4456A3D6" w14:textId="77777777" w:rsidR="00A41430" w:rsidRPr="001263B7" w:rsidRDefault="00A41430" w:rsidP="001263B7">
            <w:pPr>
              <w:pStyle w:val="ii-ttabTit"/>
              <w:rPr>
                <w:b/>
                <w:bCs w:val="0"/>
              </w:rPr>
            </w:pPr>
            <w:r w:rsidRPr="001263B7">
              <w:rPr>
                <w:b/>
                <w:bCs w:val="0"/>
              </w:rPr>
              <w:t xml:space="preserve">Assurance </w:t>
            </w:r>
          </w:p>
        </w:tc>
        <w:tc>
          <w:tcPr>
            <w:tcW w:w="0" w:type="auto"/>
            <w:gridSpan w:val="2"/>
            <w:tcBorders>
              <w:top w:val="single" w:sz="12" w:space="0" w:color="auto"/>
              <w:left w:val="single" w:sz="4" w:space="0" w:color="auto"/>
              <w:bottom w:val="single" w:sz="12" w:space="0" w:color="auto"/>
            </w:tcBorders>
            <w:vAlign w:val="center"/>
          </w:tcPr>
          <w:p w14:paraId="4AD82102" w14:textId="77777777" w:rsidR="00A41430" w:rsidRPr="001263B7" w:rsidRDefault="00A41430" w:rsidP="001263B7">
            <w:pPr>
              <w:pStyle w:val="ii-ttabTit"/>
              <w:rPr>
                <w:b/>
                <w:bCs w:val="0"/>
              </w:rPr>
            </w:pPr>
            <w:r w:rsidRPr="001263B7">
              <w:rPr>
                <w:b/>
                <w:bCs w:val="0"/>
              </w:rPr>
              <w:t>Empathy</w:t>
            </w:r>
          </w:p>
        </w:tc>
      </w:tr>
      <w:tr w:rsidR="001263B7" w:rsidRPr="003271AE" w14:paraId="311821C2" w14:textId="77777777" w:rsidTr="001263B7">
        <w:trPr>
          <w:cantSplit/>
          <w:jc w:val="center"/>
        </w:trPr>
        <w:tc>
          <w:tcPr>
            <w:tcW w:w="0" w:type="auto"/>
            <w:tcBorders>
              <w:top w:val="single" w:sz="12" w:space="0" w:color="auto"/>
            </w:tcBorders>
            <w:vAlign w:val="center"/>
          </w:tcPr>
          <w:p w14:paraId="55740528" w14:textId="77777777" w:rsidR="00A41430" w:rsidRPr="00CC2449" w:rsidRDefault="00A41430" w:rsidP="001263B7">
            <w:pPr>
              <w:pStyle w:val="ii-ttabt42"/>
            </w:pPr>
            <w:r w:rsidRPr="00CC2449">
              <w:t>Questions</w:t>
            </w:r>
          </w:p>
        </w:tc>
        <w:tc>
          <w:tcPr>
            <w:tcW w:w="0" w:type="auto"/>
            <w:tcBorders>
              <w:top w:val="single" w:sz="12" w:space="0" w:color="auto"/>
              <w:right w:val="single" w:sz="4" w:space="0" w:color="auto"/>
            </w:tcBorders>
            <w:vAlign w:val="center"/>
          </w:tcPr>
          <w:p w14:paraId="5EF6BC40" w14:textId="77777777" w:rsidR="00A41430" w:rsidRPr="00CC2449" w:rsidRDefault="00A41430" w:rsidP="001263B7">
            <w:pPr>
              <w:pStyle w:val="ii-ttabt42"/>
            </w:pPr>
            <w:r w:rsidRPr="00CC2449">
              <w:t>Factor loading</w:t>
            </w:r>
          </w:p>
        </w:tc>
        <w:tc>
          <w:tcPr>
            <w:tcW w:w="0" w:type="auto"/>
            <w:tcBorders>
              <w:top w:val="single" w:sz="12" w:space="0" w:color="auto"/>
              <w:left w:val="single" w:sz="4" w:space="0" w:color="auto"/>
            </w:tcBorders>
            <w:vAlign w:val="center"/>
          </w:tcPr>
          <w:p w14:paraId="3AA0D298" w14:textId="77777777" w:rsidR="00A41430" w:rsidRPr="00CC2449" w:rsidRDefault="00A41430" w:rsidP="001263B7">
            <w:pPr>
              <w:pStyle w:val="ii-ttabt42"/>
            </w:pPr>
            <w:r w:rsidRPr="00CC2449">
              <w:t>Questions</w:t>
            </w:r>
          </w:p>
        </w:tc>
        <w:tc>
          <w:tcPr>
            <w:tcW w:w="0" w:type="auto"/>
            <w:tcBorders>
              <w:top w:val="single" w:sz="12" w:space="0" w:color="auto"/>
              <w:right w:val="single" w:sz="4" w:space="0" w:color="auto"/>
            </w:tcBorders>
            <w:vAlign w:val="center"/>
          </w:tcPr>
          <w:p w14:paraId="46BBE7E9" w14:textId="77777777" w:rsidR="00A41430" w:rsidRPr="00CC2449" w:rsidRDefault="00A41430" w:rsidP="001263B7">
            <w:pPr>
              <w:pStyle w:val="ii-ttabt42"/>
            </w:pPr>
            <w:r w:rsidRPr="00CC2449">
              <w:t>Factor loading</w:t>
            </w:r>
          </w:p>
        </w:tc>
        <w:tc>
          <w:tcPr>
            <w:tcW w:w="0" w:type="auto"/>
            <w:tcBorders>
              <w:top w:val="single" w:sz="12" w:space="0" w:color="auto"/>
              <w:left w:val="single" w:sz="4" w:space="0" w:color="auto"/>
            </w:tcBorders>
            <w:vAlign w:val="center"/>
          </w:tcPr>
          <w:p w14:paraId="31BCB58E" w14:textId="77777777" w:rsidR="00A41430" w:rsidRPr="00CC2449" w:rsidRDefault="00A41430" w:rsidP="001263B7">
            <w:pPr>
              <w:pStyle w:val="ii-ttabt42"/>
            </w:pPr>
            <w:r w:rsidRPr="00CC2449">
              <w:t>Questions</w:t>
            </w:r>
          </w:p>
        </w:tc>
        <w:tc>
          <w:tcPr>
            <w:tcW w:w="0" w:type="auto"/>
            <w:tcBorders>
              <w:top w:val="single" w:sz="12" w:space="0" w:color="auto"/>
              <w:right w:val="single" w:sz="4" w:space="0" w:color="auto"/>
            </w:tcBorders>
            <w:vAlign w:val="center"/>
          </w:tcPr>
          <w:p w14:paraId="2F8DCF3F" w14:textId="77777777" w:rsidR="00A41430" w:rsidRPr="00CC2449" w:rsidRDefault="00A41430" w:rsidP="001263B7">
            <w:pPr>
              <w:pStyle w:val="ii-ttabt42"/>
            </w:pPr>
            <w:r w:rsidRPr="00CC2449">
              <w:t>Factor loading</w:t>
            </w:r>
          </w:p>
        </w:tc>
        <w:tc>
          <w:tcPr>
            <w:tcW w:w="0" w:type="auto"/>
            <w:tcBorders>
              <w:top w:val="single" w:sz="12" w:space="0" w:color="auto"/>
              <w:left w:val="single" w:sz="4" w:space="0" w:color="auto"/>
            </w:tcBorders>
            <w:vAlign w:val="center"/>
          </w:tcPr>
          <w:p w14:paraId="6E546260" w14:textId="77777777" w:rsidR="00A41430" w:rsidRPr="00CC2449" w:rsidRDefault="00A41430" w:rsidP="001263B7">
            <w:pPr>
              <w:pStyle w:val="ii-ttabt42"/>
            </w:pPr>
            <w:r w:rsidRPr="00CC2449">
              <w:t>Questions</w:t>
            </w:r>
          </w:p>
        </w:tc>
        <w:tc>
          <w:tcPr>
            <w:tcW w:w="0" w:type="auto"/>
            <w:tcBorders>
              <w:top w:val="single" w:sz="12" w:space="0" w:color="auto"/>
              <w:right w:val="single" w:sz="4" w:space="0" w:color="auto"/>
            </w:tcBorders>
            <w:vAlign w:val="center"/>
          </w:tcPr>
          <w:p w14:paraId="364EE972" w14:textId="77777777" w:rsidR="00A41430" w:rsidRPr="00CC2449" w:rsidRDefault="00A41430" w:rsidP="001263B7">
            <w:pPr>
              <w:pStyle w:val="ii-ttabt42"/>
            </w:pPr>
            <w:r w:rsidRPr="00CC2449">
              <w:t>Factor loading</w:t>
            </w:r>
          </w:p>
        </w:tc>
        <w:tc>
          <w:tcPr>
            <w:tcW w:w="0" w:type="auto"/>
            <w:tcBorders>
              <w:top w:val="single" w:sz="12" w:space="0" w:color="auto"/>
              <w:left w:val="single" w:sz="4" w:space="0" w:color="auto"/>
            </w:tcBorders>
            <w:vAlign w:val="center"/>
          </w:tcPr>
          <w:p w14:paraId="0C5E9BE6" w14:textId="77777777" w:rsidR="00A41430" w:rsidRPr="00CC2449" w:rsidRDefault="00A41430" w:rsidP="001263B7">
            <w:pPr>
              <w:pStyle w:val="ii-ttabt42"/>
            </w:pPr>
            <w:r w:rsidRPr="00CC2449">
              <w:t>Questions</w:t>
            </w:r>
          </w:p>
        </w:tc>
        <w:tc>
          <w:tcPr>
            <w:tcW w:w="0" w:type="auto"/>
            <w:tcBorders>
              <w:top w:val="single" w:sz="12" w:space="0" w:color="auto"/>
            </w:tcBorders>
            <w:vAlign w:val="center"/>
          </w:tcPr>
          <w:p w14:paraId="248F8619" w14:textId="77777777" w:rsidR="00A41430" w:rsidRPr="00CC2449" w:rsidRDefault="00A41430" w:rsidP="001263B7">
            <w:pPr>
              <w:pStyle w:val="ii-ttabt42"/>
            </w:pPr>
            <w:r w:rsidRPr="00CC2449">
              <w:t>Factor loading</w:t>
            </w:r>
          </w:p>
        </w:tc>
      </w:tr>
      <w:tr w:rsidR="001263B7" w:rsidRPr="003271AE" w14:paraId="52412177" w14:textId="77777777" w:rsidTr="001263B7">
        <w:trPr>
          <w:cantSplit/>
          <w:jc w:val="center"/>
        </w:trPr>
        <w:tc>
          <w:tcPr>
            <w:tcW w:w="0" w:type="auto"/>
            <w:vAlign w:val="center"/>
          </w:tcPr>
          <w:p w14:paraId="05D3DD8E" w14:textId="77777777" w:rsidR="00A41430" w:rsidRPr="00CC2449" w:rsidRDefault="00A41430" w:rsidP="001263B7">
            <w:pPr>
              <w:pStyle w:val="ii-ttabt42"/>
            </w:pPr>
            <w:r w:rsidRPr="00CC2449">
              <w:t>TAN1</w:t>
            </w:r>
          </w:p>
        </w:tc>
        <w:tc>
          <w:tcPr>
            <w:tcW w:w="0" w:type="auto"/>
            <w:tcBorders>
              <w:right w:val="single" w:sz="4" w:space="0" w:color="auto"/>
            </w:tcBorders>
            <w:vAlign w:val="center"/>
          </w:tcPr>
          <w:p w14:paraId="2BE74E67" w14:textId="77777777" w:rsidR="00A41430" w:rsidRPr="00CC2449" w:rsidRDefault="00A41430" w:rsidP="001263B7">
            <w:pPr>
              <w:pStyle w:val="ii-ttabt42"/>
            </w:pPr>
            <w:r w:rsidRPr="00CC2449">
              <w:t>,705</w:t>
            </w:r>
          </w:p>
        </w:tc>
        <w:tc>
          <w:tcPr>
            <w:tcW w:w="0" w:type="auto"/>
            <w:tcBorders>
              <w:left w:val="single" w:sz="4" w:space="0" w:color="auto"/>
            </w:tcBorders>
            <w:vAlign w:val="center"/>
          </w:tcPr>
          <w:p w14:paraId="63B799A3" w14:textId="77777777" w:rsidR="00A41430" w:rsidRPr="00CC2449" w:rsidRDefault="00A41430" w:rsidP="001263B7">
            <w:pPr>
              <w:pStyle w:val="ii-ttabt42"/>
            </w:pPr>
            <w:r w:rsidRPr="00CC2449">
              <w:t>REL2</w:t>
            </w:r>
          </w:p>
        </w:tc>
        <w:tc>
          <w:tcPr>
            <w:tcW w:w="0" w:type="auto"/>
            <w:tcBorders>
              <w:right w:val="single" w:sz="4" w:space="0" w:color="auto"/>
            </w:tcBorders>
            <w:vAlign w:val="center"/>
          </w:tcPr>
          <w:p w14:paraId="158DE25A" w14:textId="77777777" w:rsidR="00A41430" w:rsidRPr="00CC2449" w:rsidRDefault="00A41430" w:rsidP="001263B7">
            <w:pPr>
              <w:pStyle w:val="ii-ttabt42"/>
            </w:pPr>
            <w:r w:rsidRPr="00CC2449">
              <w:t>,665</w:t>
            </w:r>
          </w:p>
        </w:tc>
        <w:tc>
          <w:tcPr>
            <w:tcW w:w="0" w:type="auto"/>
            <w:tcBorders>
              <w:left w:val="single" w:sz="4" w:space="0" w:color="auto"/>
            </w:tcBorders>
            <w:vAlign w:val="center"/>
          </w:tcPr>
          <w:p w14:paraId="7F314BE4" w14:textId="77777777" w:rsidR="00A41430" w:rsidRPr="00CC2449" w:rsidRDefault="00A41430" w:rsidP="001263B7">
            <w:pPr>
              <w:pStyle w:val="ii-ttabt42"/>
            </w:pPr>
            <w:r w:rsidRPr="00CC2449">
              <w:t>READ1</w:t>
            </w:r>
          </w:p>
        </w:tc>
        <w:tc>
          <w:tcPr>
            <w:tcW w:w="0" w:type="auto"/>
            <w:tcBorders>
              <w:right w:val="single" w:sz="4" w:space="0" w:color="auto"/>
            </w:tcBorders>
            <w:vAlign w:val="center"/>
          </w:tcPr>
          <w:p w14:paraId="213968AF" w14:textId="77777777" w:rsidR="00A41430" w:rsidRPr="00CC2449" w:rsidRDefault="00A41430" w:rsidP="001263B7">
            <w:pPr>
              <w:pStyle w:val="ii-ttabt42"/>
            </w:pPr>
            <w:r w:rsidRPr="00CC2449">
              <w:t>,564</w:t>
            </w:r>
          </w:p>
        </w:tc>
        <w:tc>
          <w:tcPr>
            <w:tcW w:w="0" w:type="auto"/>
            <w:tcBorders>
              <w:left w:val="single" w:sz="4" w:space="0" w:color="auto"/>
            </w:tcBorders>
            <w:vAlign w:val="center"/>
          </w:tcPr>
          <w:p w14:paraId="3271C8FB" w14:textId="77777777" w:rsidR="00A41430" w:rsidRPr="00CC2449" w:rsidRDefault="00A41430" w:rsidP="001263B7">
            <w:pPr>
              <w:pStyle w:val="ii-ttabt42"/>
            </w:pPr>
            <w:r w:rsidRPr="00CC2449">
              <w:t>ASS1</w:t>
            </w:r>
          </w:p>
        </w:tc>
        <w:tc>
          <w:tcPr>
            <w:tcW w:w="0" w:type="auto"/>
            <w:tcBorders>
              <w:right w:val="single" w:sz="4" w:space="0" w:color="auto"/>
            </w:tcBorders>
            <w:vAlign w:val="center"/>
          </w:tcPr>
          <w:p w14:paraId="523822FE" w14:textId="77777777" w:rsidR="00A41430" w:rsidRPr="00CC2449" w:rsidRDefault="00A41430" w:rsidP="001263B7">
            <w:pPr>
              <w:pStyle w:val="ii-ttabt42"/>
            </w:pPr>
            <w:r w:rsidRPr="00CC2449">
              <w:t>,764</w:t>
            </w:r>
          </w:p>
        </w:tc>
        <w:tc>
          <w:tcPr>
            <w:tcW w:w="0" w:type="auto"/>
            <w:tcBorders>
              <w:left w:val="single" w:sz="4" w:space="0" w:color="auto"/>
            </w:tcBorders>
            <w:vAlign w:val="center"/>
          </w:tcPr>
          <w:p w14:paraId="4EA353FF" w14:textId="77777777" w:rsidR="00A41430" w:rsidRPr="00CC2449" w:rsidRDefault="00A41430" w:rsidP="001263B7">
            <w:pPr>
              <w:pStyle w:val="ii-ttabt42"/>
            </w:pPr>
            <w:r w:rsidRPr="00CC2449">
              <w:t>E1</w:t>
            </w:r>
          </w:p>
        </w:tc>
        <w:tc>
          <w:tcPr>
            <w:tcW w:w="0" w:type="auto"/>
            <w:vAlign w:val="center"/>
          </w:tcPr>
          <w:p w14:paraId="6ADA42CA" w14:textId="77777777" w:rsidR="00A41430" w:rsidRPr="00CC2449" w:rsidRDefault="00A41430" w:rsidP="001263B7">
            <w:pPr>
              <w:pStyle w:val="ii-ttabt42"/>
            </w:pPr>
            <w:r w:rsidRPr="00CC2449">
              <w:t>,773</w:t>
            </w:r>
          </w:p>
        </w:tc>
      </w:tr>
      <w:tr w:rsidR="001263B7" w:rsidRPr="003271AE" w14:paraId="3CA4F025" w14:textId="77777777" w:rsidTr="001263B7">
        <w:trPr>
          <w:cantSplit/>
          <w:jc w:val="center"/>
        </w:trPr>
        <w:tc>
          <w:tcPr>
            <w:tcW w:w="0" w:type="auto"/>
            <w:vAlign w:val="center"/>
          </w:tcPr>
          <w:p w14:paraId="27ADA33B" w14:textId="77777777" w:rsidR="00A41430" w:rsidRPr="00CC2449" w:rsidRDefault="00A41430" w:rsidP="001263B7">
            <w:pPr>
              <w:pStyle w:val="ii-ttabt42"/>
            </w:pPr>
            <w:r w:rsidRPr="00CC2449">
              <w:t>TAN2</w:t>
            </w:r>
          </w:p>
        </w:tc>
        <w:tc>
          <w:tcPr>
            <w:tcW w:w="0" w:type="auto"/>
            <w:tcBorders>
              <w:right w:val="single" w:sz="4" w:space="0" w:color="auto"/>
            </w:tcBorders>
            <w:vAlign w:val="center"/>
          </w:tcPr>
          <w:p w14:paraId="4B5BCF79" w14:textId="77777777" w:rsidR="00A41430" w:rsidRPr="00CC2449" w:rsidRDefault="00A41430" w:rsidP="001263B7">
            <w:pPr>
              <w:pStyle w:val="ii-ttabt42"/>
            </w:pPr>
            <w:r w:rsidRPr="00CC2449">
              <w:t>,466</w:t>
            </w:r>
          </w:p>
        </w:tc>
        <w:tc>
          <w:tcPr>
            <w:tcW w:w="0" w:type="auto"/>
            <w:tcBorders>
              <w:left w:val="single" w:sz="4" w:space="0" w:color="auto"/>
            </w:tcBorders>
            <w:vAlign w:val="center"/>
          </w:tcPr>
          <w:p w14:paraId="1C3321E9" w14:textId="77777777" w:rsidR="00A41430" w:rsidRPr="00CC2449" w:rsidRDefault="00A41430" w:rsidP="001263B7">
            <w:pPr>
              <w:pStyle w:val="ii-ttabt42"/>
            </w:pPr>
            <w:r w:rsidRPr="00CC2449">
              <w:t>REL3</w:t>
            </w:r>
          </w:p>
        </w:tc>
        <w:tc>
          <w:tcPr>
            <w:tcW w:w="0" w:type="auto"/>
            <w:tcBorders>
              <w:right w:val="single" w:sz="4" w:space="0" w:color="auto"/>
            </w:tcBorders>
            <w:vAlign w:val="center"/>
          </w:tcPr>
          <w:p w14:paraId="70A8B006" w14:textId="77777777" w:rsidR="00A41430" w:rsidRPr="00CC2449" w:rsidRDefault="00A41430" w:rsidP="001263B7">
            <w:pPr>
              <w:pStyle w:val="ii-ttabt42"/>
            </w:pPr>
            <w:r w:rsidRPr="00CC2449">
              <w:t>,703</w:t>
            </w:r>
          </w:p>
        </w:tc>
        <w:tc>
          <w:tcPr>
            <w:tcW w:w="0" w:type="auto"/>
            <w:tcBorders>
              <w:left w:val="single" w:sz="4" w:space="0" w:color="auto"/>
            </w:tcBorders>
            <w:vAlign w:val="center"/>
          </w:tcPr>
          <w:p w14:paraId="1275C1DB" w14:textId="77777777" w:rsidR="00A41430" w:rsidRPr="00CC2449" w:rsidRDefault="00A41430" w:rsidP="001263B7">
            <w:pPr>
              <w:pStyle w:val="ii-ttabt42"/>
            </w:pPr>
            <w:r w:rsidRPr="00CC2449">
              <w:t>READ2</w:t>
            </w:r>
          </w:p>
        </w:tc>
        <w:tc>
          <w:tcPr>
            <w:tcW w:w="0" w:type="auto"/>
            <w:tcBorders>
              <w:right w:val="single" w:sz="4" w:space="0" w:color="auto"/>
            </w:tcBorders>
            <w:vAlign w:val="center"/>
          </w:tcPr>
          <w:p w14:paraId="4A9AA2C9" w14:textId="77777777" w:rsidR="00A41430" w:rsidRPr="00CC2449" w:rsidRDefault="00A41430" w:rsidP="001263B7">
            <w:pPr>
              <w:pStyle w:val="ii-ttabt42"/>
            </w:pPr>
            <w:r w:rsidRPr="00CC2449">
              <w:t>,677</w:t>
            </w:r>
          </w:p>
        </w:tc>
        <w:tc>
          <w:tcPr>
            <w:tcW w:w="0" w:type="auto"/>
            <w:tcBorders>
              <w:left w:val="single" w:sz="4" w:space="0" w:color="auto"/>
            </w:tcBorders>
            <w:vAlign w:val="center"/>
          </w:tcPr>
          <w:p w14:paraId="2963C3A6" w14:textId="77777777" w:rsidR="00A41430" w:rsidRPr="00CC2449" w:rsidRDefault="00A41430" w:rsidP="001263B7">
            <w:pPr>
              <w:pStyle w:val="ii-ttabt42"/>
            </w:pPr>
            <w:r w:rsidRPr="00CC2449">
              <w:t>ASS2</w:t>
            </w:r>
          </w:p>
        </w:tc>
        <w:tc>
          <w:tcPr>
            <w:tcW w:w="0" w:type="auto"/>
            <w:tcBorders>
              <w:right w:val="single" w:sz="4" w:space="0" w:color="auto"/>
            </w:tcBorders>
            <w:vAlign w:val="center"/>
          </w:tcPr>
          <w:p w14:paraId="73558DD8" w14:textId="77777777" w:rsidR="00A41430" w:rsidRPr="00CC2449" w:rsidRDefault="00A41430" w:rsidP="001263B7">
            <w:pPr>
              <w:pStyle w:val="ii-ttabt42"/>
            </w:pPr>
            <w:r w:rsidRPr="00CC2449">
              <w:t>,673</w:t>
            </w:r>
          </w:p>
        </w:tc>
        <w:tc>
          <w:tcPr>
            <w:tcW w:w="0" w:type="auto"/>
            <w:tcBorders>
              <w:left w:val="single" w:sz="4" w:space="0" w:color="auto"/>
            </w:tcBorders>
            <w:vAlign w:val="center"/>
          </w:tcPr>
          <w:p w14:paraId="342F8FCE" w14:textId="77777777" w:rsidR="00A41430" w:rsidRPr="00CC2449" w:rsidRDefault="00A41430" w:rsidP="001263B7">
            <w:pPr>
              <w:pStyle w:val="ii-ttabt42"/>
            </w:pPr>
            <w:r w:rsidRPr="00CC2449">
              <w:t>E2</w:t>
            </w:r>
          </w:p>
        </w:tc>
        <w:tc>
          <w:tcPr>
            <w:tcW w:w="0" w:type="auto"/>
            <w:vAlign w:val="center"/>
          </w:tcPr>
          <w:p w14:paraId="1FACA0E3" w14:textId="77777777" w:rsidR="00A41430" w:rsidRPr="00CC2449" w:rsidRDefault="00A41430" w:rsidP="001263B7">
            <w:pPr>
              <w:pStyle w:val="ii-ttabt42"/>
            </w:pPr>
            <w:r w:rsidRPr="00CC2449">
              <w:t>,507</w:t>
            </w:r>
          </w:p>
        </w:tc>
      </w:tr>
      <w:tr w:rsidR="001263B7" w:rsidRPr="003271AE" w14:paraId="65830971" w14:textId="77777777" w:rsidTr="001263B7">
        <w:trPr>
          <w:cantSplit/>
          <w:jc w:val="center"/>
        </w:trPr>
        <w:tc>
          <w:tcPr>
            <w:tcW w:w="0" w:type="auto"/>
            <w:vAlign w:val="center"/>
          </w:tcPr>
          <w:p w14:paraId="1E9D8074" w14:textId="77777777" w:rsidR="00A41430" w:rsidRPr="00CC2449" w:rsidRDefault="00A41430" w:rsidP="001263B7">
            <w:pPr>
              <w:pStyle w:val="ii-ttabt42"/>
            </w:pPr>
            <w:r w:rsidRPr="00CC2449">
              <w:t>TAN3</w:t>
            </w:r>
          </w:p>
        </w:tc>
        <w:tc>
          <w:tcPr>
            <w:tcW w:w="0" w:type="auto"/>
            <w:tcBorders>
              <w:right w:val="single" w:sz="4" w:space="0" w:color="auto"/>
            </w:tcBorders>
            <w:vAlign w:val="center"/>
          </w:tcPr>
          <w:p w14:paraId="1B55A0C9" w14:textId="77777777" w:rsidR="00A41430" w:rsidRPr="00CC2449" w:rsidRDefault="00A41430" w:rsidP="001263B7">
            <w:pPr>
              <w:pStyle w:val="ii-ttabt42"/>
            </w:pPr>
            <w:r w:rsidRPr="00CC2449">
              <w:t>,722</w:t>
            </w:r>
          </w:p>
        </w:tc>
        <w:tc>
          <w:tcPr>
            <w:tcW w:w="0" w:type="auto"/>
            <w:tcBorders>
              <w:left w:val="single" w:sz="4" w:space="0" w:color="auto"/>
            </w:tcBorders>
            <w:vAlign w:val="center"/>
          </w:tcPr>
          <w:p w14:paraId="3F05ECCD" w14:textId="77777777" w:rsidR="00A41430" w:rsidRPr="00CC2449" w:rsidRDefault="00A41430" w:rsidP="001263B7">
            <w:pPr>
              <w:pStyle w:val="ii-ttabt42"/>
            </w:pPr>
            <w:r w:rsidRPr="00CC2449">
              <w:t>REL4</w:t>
            </w:r>
          </w:p>
        </w:tc>
        <w:tc>
          <w:tcPr>
            <w:tcW w:w="0" w:type="auto"/>
            <w:tcBorders>
              <w:right w:val="single" w:sz="4" w:space="0" w:color="auto"/>
            </w:tcBorders>
            <w:vAlign w:val="center"/>
          </w:tcPr>
          <w:p w14:paraId="615A4DA3" w14:textId="77777777" w:rsidR="00A41430" w:rsidRPr="00CC2449" w:rsidRDefault="00A41430" w:rsidP="001263B7">
            <w:pPr>
              <w:pStyle w:val="ii-ttabt42"/>
            </w:pPr>
            <w:r w:rsidRPr="00CC2449">
              <w:t>,750</w:t>
            </w:r>
          </w:p>
        </w:tc>
        <w:tc>
          <w:tcPr>
            <w:tcW w:w="0" w:type="auto"/>
            <w:tcBorders>
              <w:left w:val="single" w:sz="4" w:space="0" w:color="auto"/>
            </w:tcBorders>
            <w:vAlign w:val="center"/>
          </w:tcPr>
          <w:p w14:paraId="606145E6" w14:textId="77777777" w:rsidR="00A41430" w:rsidRPr="00CC2449" w:rsidRDefault="00A41430" w:rsidP="001263B7">
            <w:pPr>
              <w:pStyle w:val="ii-ttabt42"/>
            </w:pPr>
            <w:r w:rsidRPr="00CC2449">
              <w:t>READ3</w:t>
            </w:r>
          </w:p>
        </w:tc>
        <w:tc>
          <w:tcPr>
            <w:tcW w:w="0" w:type="auto"/>
            <w:tcBorders>
              <w:right w:val="single" w:sz="4" w:space="0" w:color="auto"/>
            </w:tcBorders>
            <w:vAlign w:val="center"/>
          </w:tcPr>
          <w:p w14:paraId="0EC360AC" w14:textId="77777777" w:rsidR="00A41430" w:rsidRPr="00CC2449" w:rsidRDefault="00A41430" w:rsidP="001263B7">
            <w:pPr>
              <w:pStyle w:val="ii-ttabt42"/>
            </w:pPr>
            <w:r w:rsidRPr="00CC2449">
              <w:t>,778</w:t>
            </w:r>
          </w:p>
        </w:tc>
        <w:tc>
          <w:tcPr>
            <w:tcW w:w="0" w:type="auto"/>
            <w:tcBorders>
              <w:left w:val="single" w:sz="4" w:space="0" w:color="auto"/>
            </w:tcBorders>
            <w:vAlign w:val="center"/>
          </w:tcPr>
          <w:p w14:paraId="78607156" w14:textId="77777777" w:rsidR="00A41430" w:rsidRPr="00CC2449" w:rsidRDefault="00A41430" w:rsidP="001263B7">
            <w:pPr>
              <w:pStyle w:val="ii-ttabt42"/>
            </w:pPr>
            <w:r w:rsidRPr="00CC2449">
              <w:t>ASS3</w:t>
            </w:r>
          </w:p>
        </w:tc>
        <w:tc>
          <w:tcPr>
            <w:tcW w:w="0" w:type="auto"/>
            <w:tcBorders>
              <w:right w:val="single" w:sz="4" w:space="0" w:color="auto"/>
            </w:tcBorders>
            <w:vAlign w:val="center"/>
          </w:tcPr>
          <w:p w14:paraId="26E8DBB1" w14:textId="77777777" w:rsidR="00A41430" w:rsidRPr="00CC2449" w:rsidRDefault="00A41430" w:rsidP="001263B7">
            <w:pPr>
              <w:pStyle w:val="ii-ttabt42"/>
            </w:pPr>
            <w:r w:rsidRPr="00CC2449">
              <w:t>,569</w:t>
            </w:r>
          </w:p>
        </w:tc>
        <w:tc>
          <w:tcPr>
            <w:tcW w:w="0" w:type="auto"/>
            <w:tcBorders>
              <w:left w:val="single" w:sz="4" w:space="0" w:color="auto"/>
            </w:tcBorders>
            <w:vAlign w:val="center"/>
          </w:tcPr>
          <w:p w14:paraId="4E40DB0F" w14:textId="77777777" w:rsidR="00A41430" w:rsidRPr="00CC2449" w:rsidRDefault="00A41430" w:rsidP="001263B7">
            <w:pPr>
              <w:pStyle w:val="ii-ttabt42"/>
            </w:pPr>
            <w:r w:rsidRPr="00CC2449">
              <w:t>E3</w:t>
            </w:r>
          </w:p>
        </w:tc>
        <w:tc>
          <w:tcPr>
            <w:tcW w:w="0" w:type="auto"/>
            <w:vAlign w:val="center"/>
          </w:tcPr>
          <w:p w14:paraId="2920AC69" w14:textId="77777777" w:rsidR="00A41430" w:rsidRPr="00CC2449" w:rsidRDefault="00A41430" w:rsidP="001263B7">
            <w:pPr>
              <w:pStyle w:val="ii-ttabt42"/>
            </w:pPr>
            <w:r w:rsidRPr="00CC2449">
              <w:t>,623</w:t>
            </w:r>
          </w:p>
        </w:tc>
      </w:tr>
      <w:tr w:rsidR="001263B7" w:rsidRPr="003271AE" w14:paraId="5ED8E0AE" w14:textId="77777777" w:rsidTr="001263B7">
        <w:trPr>
          <w:cantSplit/>
          <w:jc w:val="center"/>
        </w:trPr>
        <w:tc>
          <w:tcPr>
            <w:tcW w:w="0" w:type="auto"/>
            <w:vAlign w:val="center"/>
          </w:tcPr>
          <w:p w14:paraId="6F0E10F6" w14:textId="77777777" w:rsidR="00A41430" w:rsidRPr="00CC2449" w:rsidRDefault="00A41430" w:rsidP="001263B7">
            <w:pPr>
              <w:pStyle w:val="ii-ttabt42"/>
            </w:pPr>
            <w:r w:rsidRPr="00CC2449">
              <w:t>TAN4</w:t>
            </w:r>
          </w:p>
        </w:tc>
        <w:tc>
          <w:tcPr>
            <w:tcW w:w="0" w:type="auto"/>
            <w:tcBorders>
              <w:right w:val="single" w:sz="4" w:space="0" w:color="auto"/>
            </w:tcBorders>
            <w:vAlign w:val="center"/>
          </w:tcPr>
          <w:p w14:paraId="09AD9034" w14:textId="77777777" w:rsidR="00A41430" w:rsidRPr="00CC2449" w:rsidRDefault="00A41430" w:rsidP="001263B7">
            <w:pPr>
              <w:pStyle w:val="ii-ttabt42"/>
            </w:pPr>
            <w:r w:rsidRPr="00CC2449">
              <w:t>,589</w:t>
            </w:r>
          </w:p>
        </w:tc>
        <w:tc>
          <w:tcPr>
            <w:tcW w:w="0" w:type="auto"/>
            <w:tcBorders>
              <w:left w:val="single" w:sz="4" w:space="0" w:color="auto"/>
            </w:tcBorders>
            <w:vAlign w:val="center"/>
          </w:tcPr>
          <w:p w14:paraId="6281BE7B" w14:textId="77777777" w:rsidR="00A41430" w:rsidRPr="00CC2449" w:rsidRDefault="00A41430" w:rsidP="001263B7">
            <w:pPr>
              <w:pStyle w:val="ii-ttabt42"/>
            </w:pPr>
            <w:r w:rsidRPr="00CC2449">
              <w:t>REL5</w:t>
            </w:r>
          </w:p>
        </w:tc>
        <w:tc>
          <w:tcPr>
            <w:tcW w:w="0" w:type="auto"/>
            <w:tcBorders>
              <w:right w:val="single" w:sz="4" w:space="0" w:color="auto"/>
            </w:tcBorders>
            <w:vAlign w:val="center"/>
          </w:tcPr>
          <w:p w14:paraId="2675593D" w14:textId="77777777" w:rsidR="00A41430" w:rsidRPr="00CC2449" w:rsidRDefault="00A41430" w:rsidP="001263B7">
            <w:pPr>
              <w:pStyle w:val="ii-ttabt42"/>
            </w:pPr>
            <w:r w:rsidRPr="00CC2449">
              <w:t>,712</w:t>
            </w:r>
          </w:p>
        </w:tc>
        <w:tc>
          <w:tcPr>
            <w:tcW w:w="0" w:type="auto"/>
            <w:tcBorders>
              <w:left w:val="single" w:sz="4" w:space="0" w:color="auto"/>
            </w:tcBorders>
            <w:vAlign w:val="center"/>
          </w:tcPr>
          <w:p w14:paraId="7EED49DB" w14:textId="77777777" w:rsidR="00A41430" w:rsidRPr="00CC2449" w:rsidRDefault="00A41430" w:rsidP="001263B7">
            <w:pPr>
              <w:pStyle w:val="ii-ttabt42"/>
            </w:pPr>
            <w:r w:rsidRPr="00CC2449">
              <w:t>READ4</w:t>
            </w:r>
          </w:p>
        </w:tc>
        <w:tc>
          <w:tcPr>
            <w:tcW w:w="0" w:type="auto"/>
            <w:tcBorders>
              <w:right w:val="single" w:sz="4" w:space="0" w:color="auto"/>
            </w:tcBorders>
            <w:vAlign w:val="center"/>
          </w:tcPr>
          <w:p w14:paraId="70374872" w14:textId="77777777" w:rsidR="00A41430" w:rsidRPr="00CC2449" w:rsidRDefault="00A41430" w:rsidP="001263B7">
            <w:pPr>
              <w:pStyle w:val="ii-ttabt42"/>
            </w:pPr>
            <w:r w:rsidRPr="00CC2449">
              <w:t>,695</w:t>
            </w:r>
          </w:p>
        </w:tc>
        <w:tc>
          <w:tcPr>
            <w:tcW w:w="0" w:type="auto"/>
            <w:tcBorders>
              <w:left w:val="single" w:sz="4" w:space="0" w:color="auto"/>
            </w:tcBorders>
            <w:vAlign w:val="center"/>
          </w:tcPr>
          <w:p w14:paraId="13E34137" w14:textId="77777777" w:rsidR="00A41430" w:rsidRPr="00CC2449" w:rsidRDefault="00A41430" w:rsidP="001263B7">
            <w:pPr>
              <w:pStyle w:val="ii-ttabt42"/>
            </w:pPr>
            <w:r w:rsidRPr="00CC2449">
              <w:t>ASS4</w:t>
            </w:r>
          </w:p>
        </w:tc>
        <w:tc>
          <w:tcPr>
            <w:tcW w:w="0" w:type="auto"/>
            <w:tcBorders>
              <w:right w:val="single" w:sz="4" w:space="0" w:color="auto"/>
            </w:tcBorders>
            <w:vAlign w:val="center"/>
          </w:tcPr>
          <w:p w14:paraId="1049A1F1" w14:textId="77777777" w:rsidR="00A41430" w:rsidRPr="00CC2449" w:rsidRDefault="00A41430" w:rsidP="001263B7">
            <w:pPr>
              <w:pStyle w:val="ii-ttabt42"/>
            </w:pPr>
            <w:r w:rsidRPr="00CC2449">
              <w:t>,832</w:t>
            </w:r>
          </w:p>
        </w:tc>
        <w:tc>
          <w:tcPr>
            <w:tcW w:w="0" w:type="auto"/>
            <w:tcBorders>
              <w:left w:val="single" w:sz="4" w:space="0" w:color="auto"/>
            </w:tcBorders>
            <w:vAlign w:val="center"/>
          </w:tcPr>
          <w:p w14:paraId="73D64E8C" w14:textId="77777777" w:rsidR="00A41430" w:rsidRPr="00CC2449" w:rsidRDefault="00A41430" w:rsidP="001263B7">
            <w:pPr>
              <w:pStyle w:val="ii-ttabt42"/>
            </w:pPr>
            <w:r w:rsidRPr="00CC2449">
              <w:t>E4</w:t>
            </w:r>
          </w:p>
        </w:tc>
        <w:tc>
          <w:tcPr>
            <w:tcW w:w="0" w:type="auto"/>
            <w:vAlign w:val="center"/>
          </w:tcPr>
          <w:p w14:paraId="7F90534E" w14:textId="77777777" w:rsidR="00A41430" w:rsidRPr="00CC2449" w:rsidRDefault="00A41430" w:rsidP="001263B7">
            <w:pPr>
              <w:pStyle w:val="ii-ttabt42"/>
            </w:pPr>
            <w:r w:rsidRPr="00CC2449">
              <w:t>,782</w:t>
            </w:r>
          </w:p>
        </w:tc>
      </w:tr>
      <w:tr w:rsidR="001263B7" w:rsidRPr="003271AE" w14:paraId="57140681" w14:textId="77777777" w:rsidTr="001263B7">
        <w:trPr>
          <w:cantSplit/>
          <w:jc w:val="center"/>
        </w:trPr>
        <w:tc>
          <w:tcPr>
            <w:tcW w:w="0" w:type="auto"/>
            <w:vAlign w:val="center"/>
          </w:tcPr>
          <w:p w14:paraId="41304B1A" w14:textId="77777777" w:rsidR="00A41430" w:rsidRPr="00CC2449" w:rsidRDefault="00A41430" w:rsidP="001263B7">
            <w:pPr>
              <w:pStyle w:val="ii-ttabt42"/>
            </w:pPr>
            <w:r w:rsidRPr="00CC2449">
              <w:t>TAN5</w:t>
            </w:r>
          </w:p>
        </w:tc>
        <w:tc>
          <w:tcPr>
            <w:tcW w:w="0" w:type="auto"/>
            <w:tcBorders>
              <w:right w:val="single" w:sz="4" w:space="0" w:color="auto"/>
            </w:tcBorders>
            <w:vAlign w:val="center"/>
          </w:tcPr>
          <w:p w14:paraId="74BE00C1" w14:textId="77777777" w:rsidR="00A41430" w:rsidRPr="00CC2449" w:rsidRDefault="00A41430" w:rsidP="001263B7">
            <w:pPr>
              <w:pStyle w:val="ii-ttabt42"/>
            </w:pPr>
            <w:r w:rsidRPr="00CC2449">
              <w:t>,543</w:t>
            </w:r>
          </w:p>
        </w:tc>
        <w:tc>
          <w:tcPr>
            <w:tcW w:w="0" w:type="auto"/>
            <w:tcBorders>
              <w:left w:val="single" w:sz="4" w:space="0" w:color="auto"/>
            </w:tcBorders>
            <w:vAlign w:val="center"/>
          </w:tcPr>
          <w:p w14:paraId="382FE3ED" w14:textId="77777777" w:rsidR="00A41430" w:rsidRPr="00CC2449" w:rsidRDefault="00A41430" w:rsidP="001263B7">
            <w:pPr>
              <w:pStyle w:val="ii-ttabt42"/>
            </w:pPr>
            <w:r w:rsidRPr="00CC2449">
              <w:t>REL6</w:t>
            </w:r>
          </w:p>
        </w:tc>
        <w:tc>
          <w:tcPr>
            <w:tcW w:w="0" w:type="auto"/>
            <w:tcBorders>
              <w:right w:val="single" w:sz="4" w:space="0" w:color="auto"/>
            </w:tcBorders>
            <w:vAlign w:val="center"/>
          </w:tcPr>
          <w:p w14:paraId="2047BFA9" w14:textId="77777777" w:rsidR="00A41430" w:rsidRPr="00CC2449" w:rsidRDefault="00A41430" w:rsidP="001263B7">
            <w:pPr>
              <w:pStyle w:val="ii-ttabt42"/>
            </w:pPr>
            <w:r w:rsidRPr="00CC2449">
              <w:t>,633</w:t>
            </w:r>
          </w:p>
        </w:tc>
        <w:tc>
          <w:tcPr>
            <w:tcW w:w="0" w:type="auto"/>
            <w:tcBorders>
              <w:left w:val="single" w:sz="4" w:space="0" w:color="auto"/>
            </w:tcBorders>
            <w:vAlign w:val="center"/>
          </w:tcPr>
          <w:p w14:paraId="7B907196" w14:textId="77777777" w:rsidR="00A41430" w:rsidRPr="00CC2449" w:rsidRDefault="00A41430" w:rsidP="001263B7">
            <w:pPr>
              <w:pStyle w:val="ii-ttabt42"/>
            </w:pPr>
          </w:p>
        </w:tc>
        <w:tc>
          <w:tcPr>
            <w:tcW w:w="0" w:type="auto"/>
            <w:tcBorders>
              <w:right w:val="single" w:sz="4" w:space="0" w:color="auto"/>
            </w:tcBorders>
            <w:vAlign w:val="center"/>
          </w:tcPr>
          <w:p w14:paraId="6F62745C" w14:textId="77777777" w:rsidR="00A41430" w:rsidRPr="00CC2449" w:rsidRDefault="00A41430" w:rsidP="001263B7">
            <w:pPr>
              <w:pStyle w:val="ii-ttabt42"/>
            </w:pPr>
          </w:p>
        </w:tc>
        <w:tc>
          <w:tcPr>
            <w:tcW w:w="0" w:type="auto"/>
            <w:tcBorders>
              <w:left w:val="single" w:sz="4" w:space="0" w:color="auto"/>
            </w:tcBorders>
            <w:vAlign w:val="center"/>
          </w:tcPr>
          <w:p w14:paraId="2F16EAC7" w14:textId="77777777" w:rsidR="00A41430" w:rsidRPr="00CC2449" w:rsidRDefault="00A41430" w:rsidP="001263B7">
            <w:pPr>
              <w:pStyle w:val="ii-ttabt42"/>
            </w:pPr>
          </w:p>
        </w:tc>
        <w:tc>
          <w:tcPr>
            <w:tcW w:w="0" w:type="auto"/>
            <w:tcBorders>
              <w:right w:val="single" w:sz="4" w:space="0" w:color="auto"/>
            </w:tcBorders>
            <w:vAlign w:val="center"/>
          </w:tcPr>
          <w:p w14:paraId="1D39A9CA" w14:textId="77777777" w:rsidR="00A41430" w:rsidRPr="00CC2449" w:rsidRDefault="00A41430" w:rsidP="001263B7">
            <w:pPr>
              <w:pStyle w:val="ii-ttabt42"/>
            </w:pPr>
          </w:p>
        </w:tc>
        <w:tc>
          <w:tcPr>
            <w:tcW w:w="0" w:type="auto"/>
            <w:tcBorders>
              <w:left w:val="single" w:sz="4" w:space="0" w:color="auto"/>
            </w:tcBorders>
            <w:vAlign w:val="center"/>
          </w:tcPr>
          <w:p w14:paraId="48336786" w14:textId="77777777" w:rsidR="00A41430" w:rsidRPr="00CC2449" w:rsidRDefault="00A41430" w:rsidP="001263B7">
            <w:pPr>
              <w:pStyle w:val="ii-ttabt42"/>
            </w:pPr>
            <w:r w:rsidRPr="00CC2449">
              <w:t>E5</w:t>
            </w:r>
          </w:p>
        </w:tc>
        <w:tc>
          <w:tcPr>
            <w:tcW w:w="0" w:type="auto"/>
            <w:vAlign w:val="center"/>
          </w:tcPr>
          <w:p w14:paraId="771761E8" w14:textId="77777777" w:rsidR="00A41430" w:rsidRPr="00CC2449" w:rsidRDefault="00A41430" w:rsidP="001263B7">
            <w:pPr>
              <w:pStyle w:val="ii-ttabt42"/>
            </w:pPr>
            <w:r w:rsidRPr="00CC2449">
              <w:t>,649</w:t>
            </w:r>
          </w:p>
        </w:tc>
      </w:tr>
      <w:tr w:rsidR="001263B7" w:rsidRPr="003271AE" w14:paraId="5DFF38B1" w14:textId="77777777" w:rsidTr="001263B7">
        <w:trPr>
          <w:cantSplit/>
          <w:jc w:val="center"/>
        </w:trPr>
        <w:tc>
          <w:tcPr>
            <w:tcW w:w="0" w:type="auto"/>
            <w:vAlign w:val="center"/>
          </w:tcPr>
          <w:p w14:paraId="364A5B34" w14:textId="77777777" w:rsidR="00A41430" w:rsidRPr="00CC2449" w:rsidRDefault="00A41430" w:rsidP="001263B7">
            <w:pPr>
              <w:pStyle w:val="ii-ttabt42"/>
            </w:pPr>
          </w:p>
        </w:tc>
        <w:tc>
          <w:tcPr>
            <w:tcW w:w="0" w:type="auto"/>
            <w:tcBorders>
              <w:right w:val="single" w:sz="4" w:space="0" w:color="auto"/>
            </w:tcBorders>
            <w:vAlign w:val="center"/>
          </w:tcPr>
          <w:p w14:paraId="5D99B9A6" w14:textId="77777777" w:rsidR="00A41430" w:rsidRPr="00CC2449" w:rsidRDefault="00A41430" w:rsidP="001263B7">
            <w:pPr>
              <w:pStyle w:val="ii-ttabt42"/>
            </w:pPr>
          </w:p>
        </w:tc>
        <w:tc>
          <w:tcPr>
            <w:tcW w:w="0" w:type="auto"/>
            <w:tcBorders>
              <w:left w:val="single" w:sz="4" w:space="0" w:color="auto"/>
            </w:tcBorders>
            <w:vAlign w:val="center"/>
          </w:tcPr>
          <w:p w14:paraId="6D73F463" w14:textId="77777777" w:rsidR="00A41430" w:rsidRPr="00CC2449" w:rsidRDefault="00A41430" w:rsidP="001263B7">
            <w:pPr>
              <w:pStyle w:val="ii-ttabt42"/>
            </w:pPr>
          </w:p>
        </w:tc>
        <w:tc>
          <w:tcPr>
            <w:tcW w:w="0" w:type="auto"/>
            <w:tcBorders>
              <w:right w:val="single" w:sz="4" w:space="0" w:color="auto"/>
            </w:tcBorders>
            <w:vAlign w:val="center"/>
          </w:tcPr>
          <w:p w14:paraId="14736710" w14:textId="77777777" w:rsidR="00A41430" w:rsidRPr="00CC2449" w:rsidRDefault="00A41430" w:rsidP="001263B7">
            <w:pPr>
              <w:pStyle w:val="ii-ttabt42"/>
            </w:pPr>
          </w:p>
        </w:tc>
        <w:tc>
          <w:tcPr>
            <w:tcW w:w="0" w:type="auto"/>
            <w:tcBorders>
              <w:left w:val="single" w:sz="4" w:space="0" w:color="auto"/>
            </w:tcBorders>
            <w:vAlign w:val="center"/>
          </w:tcPr>
          <w:p w14:paraId="2A459646" w14:textId="77777777" w:rsidR="00A41430" w:rsidRPr="00CC2449" w:rsidRDefault="00A41430" w:rsidP="001263B7">
            <w:pPr>
              <w:pStyle w:val="ii-ttabt42"/>
            </w:pPr>
          </w:p>
        </w:tc>
        <w:tc>
          <w:tcPr>
            <w:tcW w:w="0" w:type="auto"/>
            <w:tcBorders>
              <w:right w:val="single" w:sz="4" w:space="0" w:color="auto"/>
            </w:tcBorders>
            <w:vAlign w:val="center"/>
          </w:tcPr>
          <w:p w14:paraId="4AA2BD84" w14:textId="77777777" w:rsidR="00A41430" w:rsidRPr="00CC2449" w:rsidRDefault="00A41430" w:rsidP="001263B7">
            <w:pPr>
              <w:pStyle w:val="ii-ttabt42"/>
            </w:pPr>
          </w:p>
        </w:tc>
        <w:tc>
          <w:tcPr>
            <w:tcW w:w="0" w:type="auto"/>
            <w:tcBorders>
              <w:left w:val="single" w:sz="4" w:space="0" w:color="auto"/>
            </w:tcBorders>
            <w:vAlign w:val="center"/>
          </w:tcPr>
          <w:p w14:paraId="604D52BC" w14:textId="77777777" w:rsidR="00A41430" w:rsidRPr="00CC2449" w:rsidRDefault="00A41430" w:rsidP="001263B7">
            <w:pPr>
              <w:pStyle w:val="ii-ttabt42"/>
            </w:pPr>
          </w:p>
        </w:tc>
        <w:tc>
          <w:tcPr>
            <w:tcW w:w="0" w:type="auto"/>
            <w:tcBorders>
              <w:right w:val="single" w:sz="4" w:space="0" w:color="auto"/>
            </w:tcBorders>
            <w:vAlign w:val="center"/>
          </w:tcPr>
          <w:p w14:paraId="116BD1B6" w14:textId="77777777" w:rsidR="00A41430" w:rsidRPr="00CC2449" w:rsidRDefault="00A41430" w:rsidP="001263B7">
            <w:pPr>
              <w:pStyle w:val="ii-ttabt42"/>
            </w:pPr>
          </w:p>
        </w:tc>
        <w:tc>
          <w:tcPr>
            <w:tcW w:w="0" w:type="auto"/>
            <w:tcBorders>
              <w:left w:val="single" w:sz="4" w:space="0" w:color="auto"/>
            </w:tcBorders>
            <w:vAlign w:val="center"/>
          </w:tcPr>
          <w:p w14:paraId="7058FDAB" w14:textId="77777777" w:rsidR="00A41430" w:rsidRPr="00CC2449" w:rsidRDefault="00A41430" w:rsidP="001263B7">
            <w:pPr>
              <w:pStyle w:val="ii-ttabt42"/>
            </w:pPr>
            <w:r w:rsidRPr="00CC2449">
              <w:t>E6</w:t>
            </w:r>
          </w:p>
        </w:tc>
        <w:tc>
          <w:tcPr>
            <w:tcW w:w="0" w:type="auto"/>
            <w:vAlign w:val="center"/>
          </w:tcPr>
          <w:p w14:paraId="21087F0F" w14:textId="77777777" w:rsidR="00A41430" w:rsidRPr="00CC2449" w:rsidRDefault="00A41430" w:rsidP="001263B7">
            <w:pPr>
              <w:pStyle w:val="ii-ttabt42"/>
            </w:pPr>
            <w:r w:rsidRPr="00CC2449">
              <w:t>,741</w:t>
            </w:r>
          </w:p>
        </w:tc>
      </w:tr>
      <w:tr w:rsidR="001263B7" w:rsidRPr="003271AE" w14:paraId="28614F0A" w14:textId="77777777" w:rsidTr="001263B7">
        <w:trPr>
          <w:cantSplit/>
          <w:jc w:val="center"/>
        </w:trPr>
        <w:tc>
          <w:tcPr>
            <w:tcW w:w="0" w:type="auto"/>
            <w:tcBorders>
              <w:bottom w:val="single" w:sz="8" w:space="0" w:color="auto"/>
            </w:tcBorders>
            <w:vAlign w:val="center"/>
          </w:tcPr>
          <w:p w14:paraId="232EBAC4" w14:textId="77777777" w:rsidR="00A41430" w:rsidRPr="00CC2449" w:rsidRDefault="00A41430" w:rsidP="001263B7">
            <w:pPr>
              <w:pStyle w:val="ii-ttabt42"/>
            </w:pPr>
          </w:p>
        </w:tc>
        <w:tc>
          <w:tcPr>
            <w:tcW w:w="0" w:type="auto"/>
            <w:tcBorders>
              <w:bottom w:val="single" w:sz="8" w:space="0" w:color="auto"/>
              <w:right w:val="single" w:sz="4" w:space="0" w:color="auto"/>
            </w:tcBorders>
            <w:vAlign w:val="center"/>
          </w:tcPr>
          <w:p w14:paraId="52BFAA39" w14:textId="77777777" w:rsidR="00A41430" w:rsidRPr="00CC2449" w:rsidRDefault="00A41430" w:rsidP="001263B7">
            <w:pPr>
              <w:pStyle w:val="ii-ttabt42"/>
            </w:pPr>
          </w:p>
        </w:tc>
        <w:tc>
          <w:tcPr>
            <w:tcW w:w="0" w:type="auto"/>
            <w:tcBorders>
              <w:left w:val="single" w:sz="4" w:space="0" w:color="auto"/>
              <w:bottom w:val="single" w:sz="8" w:space="0" w:color="auto"/>
            </w:tcBorders>
            <w:vAlign w:val="center"/>
          </w:tcPr>
          <w:p w14:paraId="1DF22F51" w14:textId="77777777" w:rsidR="00A41430" w:rsidRPr="00CC2449" w:rsidRDefault="00A41430" w:rsidP="001263B7">
            <w:pPr>
              <w:pStyle w:val="ii-ttabt42"/>
            </w:pPr>
          </w:p>
        </w:tc>
        <w:tc>
          <w:tcPr>
            <w:tcW w:w="0" w:type="auto"/>
            <w:tcBorders>
              <w:bottom w:val="single" w:sz="8" w:space="0" w:color="auto"/>
              <w:right w:val="single" w:sz="4" w:space="0" w:color="auto"/>
            </w:tcBorders>
            <w:vAlign w:val="center"/>
          </w:tcPr>
          <w:p w14:paraId="6F0DEB66" w14:textId="77777777" w:rsidR="00A41430" w:rsidRPr="00CC2449" w:rsidRDefault="00A41430" w:rsidP="001263B7">
            <w:pPr>
              <w:pStyle w:val="ii-ttabt42"/>
            </w:pPr>
          </w:p>
        </w:tc>
        <w:tc>
          <w:tcPr>
            <w:tcW w:w="0" w:type="auto"/>
            <w:tcBorders>
              <w:left w:val="single" w:sz="4" w:space="0" w:color="auto"/>
              <w:bottom w:val="single" w:sz="8" w:space="0" w:color="auto"/>
            </w:tcBorders>
            <w:vAlign w:val="center"/>
          </w:tcPr>
          <w:p w14:paraId="040C9202" w14:textId="77777777" w:rsidR="00A41430" w:rsidRPr="00CC2449" w:rsidRDefault="00A41430" w:rsidP="001263B7">
            <w:pPr>
              <w:pStyle w:val="ii-ttabt42"/>
            </w:pPr>
          </w:p>
        </w:tc>
        <w:tc>
          <w:tcPr>
            <w:tcW w:w="0" w:type="auto"/>
            <w:tcBorders>
              <w:bottom w:val="single" w:sz="8" w:space="0" w:color="auto"/>
              <w:right w:val="single" w:sz="4" w:space="0" w:color="auto"/>
            </w:tcBorders>
            <w:vAlign w:val="center"/>
          </w:tcPr>
          <w:p w14:paraId="714A0435" w14:textId="77777777" w:rsidR="00A41430" w:rsidRPr="00CC2449" w:rsidRDefault="00A41430" w:rsidP="001263B7">
            <w:pPr>
              <w:pStyle w:val="ii-ttabt42"/>
            </w:pPr>
          </w:p>
        </w:tc>
        <w:tc>
          <w:tcPr>
            <w:tcW w:w="0" w:type="auto"/>
            <w:tcBorders>
              <w:left w:val="single" w:sz="4" w:space="0" w:color="auto"/>
              <w:bottom w:val="single" w:sz="8" w:space="0" w:color="auto"/>
            </w:tcBorders>
            <w:vAlign w:val="center"/>
          </w:tcPr>
          <w:p w14:paraId="3F9048E9" w14:textId="77777777" w:rsidR="00A41430" w:rsidRPr="00CC2449" w:rsidRDefault="00A41430" w:rsidP="001263B7">
            <w:pPr>
              <w:pStyle w:val="ii-ttabt42"/>
            </w:pPr>
          </w:p>
        </w:tc>
        <w:tc>
          <w:tcPr>
            <w:tcW w:w="0" w:type="auto"/>
            <w:tcBorders>
              <w:bottom w:val="single" w:sz="8" w:space="0" w:color="auto"/>
              <w:right w:val="single" w:sz="4" w:space="0" w:color="auto"/>
            </w:tcBorders>
            <w:vAlign w:val="center"/>
          </w:tcPr>
          <w:p w14:paraId="1D49DC9A" w14:textId="77777777" w:rsidR="00A41430" w:rsidRPr="00CC2449" w:rsidRDefault="00A41430" w:rsidP="001263B7">
            <w:pPr>
              <w:pStyle w:val="ii-ttabt42"/>
            </w:pPr>
          </w:p>
        </w:tc>
        <w:tc>
          <w:tcPr>
            <w:tcW w:w="0" w:type="auto"/>
            <w:tcBorders>
              <w:left w:val="single" w:sz="4" w:space="0" w:color="auto"/>
              <w:bottom w:val="single" w:sz="8" w:space="0" w:color="auto"/>
            </w:tcBorders>
            <w:vAlign w:val="center"/>
          </w:tcPr>
          <w:p w14:paraId="35A0BE23" w14:textId="77777777" w:rsidR="00A41430" w:rsidRPr="00CC2449" w:rsidRDefault="00A41430" w:rsidP="001263B7">
            <w:pPr>
              <w:pStyle w:val="ii-ttabt42"/>
            </w:pPr>
          </w:p>
        </w:tc>
        <w:tc>
          <w:tcPr>
            <w:tcW w:w="0" w:type="auto"/>
            <w:tcBorders>
              <w:bottom w:val="single" w:sz="8" w:space="0" w:color="auto"/>
            </w:tcBorders>
            <w:vAlign w:val="center"/>
          </w:tcPr>
          <w:p w14:paraId="72AB1569" w14:textId="77777777" w:rsidR="00A41430" w:rsidRPr="00CC2449" w:rsidRDefault="00A41430" w:rsidP="001263B7">
            <w:pPr>
              <w:pStyle w:val="ii-ttabt42"/>
            </w:pPr>
          </w:p>
        </w:tc>
      </w:tr>
      <w:tr w:rsidR="001263B7" w:rsidRPr="003271AE" w14:paraId="011A36E7" w14:textId="77777777" w:rsidTr="001263B7">
        <w:trPr>
          <w:cantSplit/>
          <w:jc w:val="center"/>
        </w:trPr>
        <w:tc>
          <w:tcPr>
            <w:tcW w:w="0" w:type="auto"/>
            <w:tcBorders>
              <w:top w:val="single" w:sz="8" w:space="0" w:color="auto"/>
            </w:tcBorders>
            <w:vAlign w:val="center"/>
          </w:tcPr>
          <w:p w14:paraId="3821E9B5" w14:textId="77777777" w:rsidR="00A41430" w:rsidRPr="00CC2449" w:rsidRDefault="00A41430" w:rsidP="001263B7">
            <w:pPr>
              <w:pStyle w:val="ii-ttabt42"/>
            </w:pPr>
            <w:r w:rsidRPr="00CC2449">
              <w:t>Eigenvalue</w:t>
            </w:r>
          </w:p>
        </w:tc>
        <w:tc>
          <w:tcPr>
            <w:tcW w:w="0" w:type="auto"/>
            <w:tcBorders>
              <w:top w:val="single" w:sz="8" w:space="0" w:color="auto"/>
              <w:right w:val="single" w:sz="4" w:space="0" w:color="auto"/>
            </w:tcBorders>
            <w:vAlign w:val="center"/>
          </w:tcPr>
          <w:p w14:paraId="080F8BA4" w14:textId="77777777" w:rsidR="00A41430" w:rsidRPr="00CC2449" w:rsidRDefault="00A41430" w:rsidP="001263B7">
            <w:pPr>
              <w:pStyle w:val="ii-ttabt42"/>
            </w:pPr>
            <w:r w:rsidRPr="00CC2449">
              <w:t>1.747</w:t>
            </w:r>
          </w:p>
        </w:tc>
        <w:tc>
          <w:tcPr>
            <w:tcW w:w="0" w:type="auto"/>
            <w:tcBorders>
              <w:top w:val="single" w:sz="8" w:space="0" w:color="auto"/>
              <w:left w:val="single" w:sz="4" w:space="0" w:color="auto"/>
            </w:tcBorders>
            <w:vAlign w:val="center"/>
          </w:tcPr>
          <w:p w14:paraId="576CBF9C" w14:textId="77777777" w:rsidR="00A41430" w:rsidRPr="00CC2449" w:rsidRDefault="00A41430" w:rsidP="001263B7">
            <w:pPr>
              <w:pStyle w:val="ii-ttabt42"/>
            </w:pPr>
            <w:r w:rsidRPr="00CC2449">
              <w:t>Eigenvalue</w:t>
            </w:r>
          </w:p>
        </w:tc>
        <w:tc>
          <w:tcPr>
            <w:tcW w:w="0" w:type="auto"/>
            <w:tcBorders>
              <w:top w:val="single" w:sz="8" w:space="0" w:color="auto"/>
              <w:right w:val="single" w:sz="4" w:space="0" w:color="auto"/>
            </w:tcBorders>
            <w:vAlign w:val="center"/>
          </w:tcPr>
          <w:p w14:paraId="01FFA3E2" w14:textId="77777777" w:rsidR="00A41430" w:rsidRPr="00CC2449" w:rsidRDefault="00A41430" w:rsidP="001263B7">
            <w:pPr>
              <w:pStyle w:val="ii-ttabt42"/>
            </w:pPr>
            <w:r w:rsidRPr="00CC2449">
              <w:t>2.536</w:t>
            </w:r>
          </w:p>
        </w:tc>
        <w:tc>
          <w:tcPr>
            <w:tcW w:w="0" w:type="auto"/>
            <w:tcBorders>
              <w:top w:val="single" w:sz="8" w:space="0" w:color="auto"/>
              <w:left w:val="single" w:sz="4" w:space="0" w:color="auto"/>
            </w:tcBorders>
            <w:vAlign w:val="center"/>
          </w:tcPr>
          <w:p w14:paraId="473ED145" w14:textId="77777777" w:rsidR="00A41430" w:rsidRPr="00CC2449" w:rsidRDefault="00A41430" w:rsidP="001263B7">
            <w:pPr>
              <w:pStyle w:val="ii-ttabt42"/>
            </w:pPr>
            <w:r w:rsidRPr="00CC2449">
              <w:t>Eigenvalue</w:t>
            </w:r>
          </w:p>
        </w:tc>
        <w:tc>
          <w:tcPr>
            <w:tcW w:w="0" w:type="auto"/>
            <w:tcBorders>
              <w:top w:val="single" w:sz="8" w:space="0" w:color="auto"/>
              <w:right w:val="single" w:sz="4" w:space="0" w:color="auto"/>
            </w:tcBorders>
            <w:vAlign w:val="center"/>
          </w:tcPr>
          <w:p w14:paraId="4FEF1870" w14:textId="77777777" w:rsidR="00A41430" w:rsidRPr="00CC2449" w:rsidRDefault="00A41430" w:rsidP="001263B7">
            <w:pPr>
              <w:pStyle w:val="ii-ttabt42"/>
            </w:pPr>
            <w:r w:rsidRPr="00CC2449">
              <w:t>1.865</w:t>
            </w:r>
          </w:p>
        </w:tc>
        <w:tc>
          <w:tcPr>
            <w:tcW w:w="0" w:type="auto"/>
            <w:tcBorders>
              <w:top w:val="single" w:sz="8" w:space="0" w:color="auto"/>
              <w:left w:val="single" w:sz="4" w:space="0" w:color="auto"/>
            </w:tcBorders>
            <w:vAlign w:val="center"/>
          </w:tcPr>
          <w:p w14:paraId="22895F66" w14:textId="77777777" w:rsidR="00A41430" w:rsidRPr="00CC2449" w:rsidRDefault="00A41430" w:rsidP="001263B7">
            <w:pPr>
              <w:pStyle w:val="ii-ttabt42"/>
            </w:pPr>
            <w:r w:rsidRPr="00CC2449">
              <w:t>Eigenvalue</w:t>
            </w:r>
          </w:p>
        </w:tc>
        <w:tc>
          <w:tcPr>
            <w:tcW w:w="0" w:type="auto"/>
            <w:tcBorders>
              <w:top w:val="single" w:sz="8" w:space="0" w:color="auto"/>
              <w:right w:val="single" w:sz="4" w:space="0" w:color="auto"/>
            </w:tcBorders>
            <w:vAlign w:val="center"/>
          </w:tcPr>
          <w:p w14:paraId="0B1D9650" w14:textId="77777777" w:rsidR="00A41430" w:rsidRPr="00CC2449" w:rsidRDefault="00A41430" w:rsidP="001263B7">
            <w:pPr>
              <w:pStyle w:val="ii-ttabt42"/>
            </w:pPr>
            <w:r w:rsidRPr="00CC2449">
              <w:t>2.052</w:t>
            </w:r>
          </w:p>
        </w:tc>
        <w:tc>
          <w:tcPr>
            <w:tcW w:w="0" w:type="auto"/>
            <w:tcBorders>
              <w:top w:val="single" w:sz="8" w:space="0" w:color="auto"/>
              <w:left w:val="single" w:sz="4" w:space="0" w:color="auto"/>
            </w:tcBorders>
            <w:vAlign w:val="center"/>
          </w:tcPr>
          <w:p w14:paraId="091C2EC4" w14:textId="77777777" w:rsidR="00A41430" w:rsidRPr="00CC2449" w:rsidRDefault="00A41430" w:rsidP="001263B7">
            <w:pPr>
              <w:pStyle w:val="ii-ttabt42"/>
            </w:pPr>
            <w:r w:rsidRPr="00CC2449">
              <w:t>Eigenvalue</w:t>
            </w:r>
          </w:p>
        </w:tc>
        <w:tc>
          <w:tcPr>
            <w:tcW w:w="0" w:type="auto"/>
            <w:tcBorders>
              <w:top w:val="single" w:sz="8" w:space="0" w:color="auto"/>
            </w:tcBorders>
            <w:vAlign w:val="center"/>
          </w:tcPr>
          <w:p w14:paraId="193AD56B" w14:textId="77777777" w:rsidR="00A41430" w:rsidRPr="00CC2449" w:rsidRDefault="00A41430" w:rsidP="001263B7">
            <w:pPr>
              <w:pStyle w:val="ii-ttabt42"/>
            </w:pPr>
            <w:r w:rsidRPr="00CC2449">
              <w:t>2.824</w:t>
            </w:r>
          </w:p>
        </w:tc>
      </w:tr>
      <w:tr w:rsidR="001263B7" w:rsidRPr="003271AE" w14:paraId="52918A58" w14:textId="77777777" w:rsidTr="001263B7">
        <w:trPr>
          <w:cantSplit/>
          <w:jc w:val="center"/>
        </w:trPr>
        <w:tc>
          <w:tcPr>
            <w:tcW w:w="0" w:type="auto"/>
            <w:vAlign w:val="center"/>
          </w:tcPr>
          <w:p w14:paraId="65B8E4E7" w14:textId="77777777" w:rsidR="00A41430" w:rsidRPr="00CC2449" w:rsidRDefault="00A41430" w:rsidP="001263B7">
            <w:pPr>
              <w:pStyle w:val="ii-ttabt42"/>
            </w:pPr>
            <w:r w:rsidRPr="00CC2449">
              <w:t>Variance explained %</w:t>
            </w:r>
          </w:p>
        </w:tc>
        <w:tc>
          <w:tcPr>
            <w:tcW w:w="0" w:type="auto"/>
            <w:tcBorders>
              <w:right w:val="single" w:sz="4" w:space="0" w:color="auto"/>
            </w:tcBorders>
            <w:vAlign w:val="center"/>
          </w:tcPr>
          <w:p w14:paraId="01325979" w14:textId="77777777" w:rsidR="00A41430" w:rsidRPr="00CC2449" w:rsidRDefault="00A41430" w:rsidP="001263B7">
            <w:pPr>
              <w:pStyle w:val="ii-ttabt42"/>
            </w:pPr>
            <w:r w:rsidRPr="00CC2449">
              <w:t>37.554</w:t>
            </w:r>
          </w:p>
        </w:tc>
        <w:tc>
          <w:tcPr>
            <w:tcW w:w="0" w:type="auto"/>
            <w:tcBorders>
              <w:left w:val="single" w:sz="4" w:space="0" w:color="auto"/>
              <w:bottom w:val="single" w:sz="12" w:space="0" w:color="auto"/>
            </w:tcBorders>
            <w:vAlign w:val="center"/>
          </w:tcPr>
          <w:p w14:paraId="039F36F3" w14:textId="77777777" w:rsidR="00A41430" w:rsidRPr="00CC2449" w:rsidRDefault="00A41430" w:rsidP="001263B7">
            <w:pPr>
              <w:pStyle w:val="ii-ttabt42"/>
            </w:pPr>
            <w:r w:rsidRPr="00CC2449">
              <w:t>Variance explained %</w:t>
            </w:r>
          </w:p>
        </w:tc>
        <w:tc>
          <w:tcPr>
            <w:tcW w:w="0" w:type="auto"/>
            <w:tcBorders>
              <w:right w:val="single" w:sz="4" w:space="0" w:color="auto"/>
            </w:tcBorders>
            <w:vAlign w:val="center"/>
          </w:tcPr>
          <w:p w14:paraId="0E0BC067" w14:textId="77777777" w:rsidR="00A41430" w:rsidRPr="00CC2449" w:rsidRDefault="00A41430" w:rsidP="001263B7">
            <w:pPr>
              <w:pStyle w:val="ii-ttabt42"/>
            </w:pPr>
            <w:r w:rsidRPr="00CC2449">
              <w:t>42.268</w:t>
            </w:r>
          </w:p>
        </w:tc>
        <w:tc>
          <w:tcPr>
            <w:tcW w:w="0" w:type="auto"/>
            <w:tcBorders>
              <w:left w:val="single" w:sz="4" w:space="0" w:color="auto"/>
              <w:bottom w:val="single" w:sz="12" w:space="0" w:color="auto"/>
            </w:tcBorders>
            <w:vAlign w:val="center"/>
          </w:tcPr>
          <w:p w14:paraId="73E0F043" w14:textId="77777777" w:rsidR="00A41430" w:rsidRPr="00CC2449" w:rsidRDefault="00A41430" w:rsidP="001263B7">
            <w:pPr>
              <w:pStyle w:val="ii-ttabt42"/>
            </w:pPr>
            <w:r w:rsidRPr="00CC2449">
              <w:t>Variance explained %</w:t>
            </w:r>
          </w:p>
        </w:tc>
        <w:tc>
          <w:tcPr>
            <w:tcW w:w="0" w:type="auto"/>
            <w:tcBorders>
              <w:right w:val="single" w:sz="4" w:space="0" w:color="auto"/>
            </w:tcBorders>
            <w:vAlign w:val="center"/>
          </w:tcPr>
          <w:p w14:paraId="176E27CB" w14:textId="77777777" w:rsidR="00A41430" w:rsidRPr="00CC2449" w:rsidRDefault="00A41430" w:rsidP="001263B7">
            <w:pPr>
              <w:pStyle w:val="ii-ttabt42"/>
            </w:pPr>
            <w:r w:rsidRPr="00CC2449">
              <w:t>46.625</w:t>
            </w:r>
          </w:p>
        </w:tc>
        <w:tc>
          <w:tcPr>
            <w:tcW w:w="0" w:type="auto"/>
            <w:tcBorders>
              <w:left w:val="single" w:sz="4" w:space="0" w:color="auto"/>
              <w:bottom w:val="single" w:sz="12" w:space="0" w:color="auto"/>
            </w:tcBorders>
            <w:vAlign w:val="center"/>
          </w:tcPr>
          <w:p w14:paraId="77F9608C" w14:textId="77777777" w:rsidR="00A41430" w:rsidRPr="00CC2449" w:rsidRDefault="00A41430" w:rsidP="001263B7">
            <w:pPr>
              <w:pStyle w:val="ii-ttabt42"/>
            </w:pPr>
            <w:r w:rsidRPr="00CC2449">
              <w:t>Variance explained %</w:t>
            </w:r>
          </w:p>
        </w:tc>
        <w:tc>
          <w:tcPr>
            <w:tcW w:w="0" w:type="auto"/>
            <w:tcBorders>
              <w:right w:val="single" w:sz="4" w:space="0" w:color="auto"/>
            </w:tcBorders>
            <w:vAlign w:val="center"/>
          </w:tcPr>
          <w:p w14:paraId="34F9D7D7" w14:textId="77777777" w:rsidR="00A41430" w:rsidRPr="00CC2449" w:rsidRDefault="00A41430" w:rsidP="001263B7">
            <w:pPr>
              <w:pStyle w:val="ii-ttabt42"/>
            </w:pPr>
            <w:r w:rsidRPr="00CC2449">
              <w:t>51.307</w:t>
            </w:r>
          </w:p>
        </w:tc>
        <w:tc>
          <w:tcPr>
            <w:tcW w:w="0" w:type="auto"/>
            <w:tcBorders>
              <w:left w:val="single" w:sz="4" w:space="0" w:color="auto"/>
              <w:bottom w:val="single" w:sz="12" w:space="0" w:color="auto"/>
            </w:tcBorders>
            <w:vAlign w:val="center"/>
          </w:tcPr>
          <w:p w14:paraId="6FDA2C0B" w14:textId="77777777" w:rsidR="00A41430" w:rsidRPr="00CC2449" w:rsidRDefault="00A41430" w:rsidP="001263B7">
            <w:pPr>
              <w:pStyle w:val="ii-ttabt42"/>
            </w:pPr>
            <w:r w:rsidRPr="00CC2449">
              <w:t>Variance explained %</w:t>
            </w:r>
          </w:p>
        </w:tc>
        <w:tc>
          <w:tcPr>
            <w:tcW w:w="0" w:type="auto"/>
            <w:vAlign w:val="center"/>
          </w:tcPr>
          <w:p w14:paraId="1FD89324" w14:textId="77777777" w:rsidR="00A41430" w:rsidRPr="00CC2449" w:rsidRDefault="00A41430" w:rsidP="001263B7">
            <w:pPr>
              <w:pStyle w:val="ii-ttabt42"/>
            </w:pPr>
            <w:r w:rsidRPr="00CC2449">
              <w:t>47.069</w:t>
            </w:r>
          </w:p>
        </w:tc>
      </w:tr>
    </w:tbl>
    <w:p w14:paraId="0DCB19A0" w14:textId="77777777" w:rsidR="00A41430" w:rsidRDefault="00A41430" w:rsidP="001263B7">
      <w:pPr>
        <w:pStyle w:val="ii-ttabtext"/>
      </w:pPr>
      <w:r w:rsidRPr="00CC2449">
        <w:t>Exploratory factor analysis resulted in the discovery of five factors. The resulting composition of factors explains 28.22% of the variance in the sample.</w:t>
      </w:r>
    </w:p>
    <w:p w14:paraId="7724238E" w14:textId="77777777" w:rsidR="00DD5D5B" w:rsidRDefault="00DD5D5B" w:rsidP="00DD5D5B">
      <w:pPr>
        <w:pStyle w:val="ii-text"/>
      </w:pPr>
      <w:r>
        <w:t>Table 2 presents the results of the EFA analysis related to the measuring instrument for quality variables in online higher education through factors such as tangibility, reliability, readiness, assurance of digital platforms, and empathy in their use. Factor loading coefficients of all observed items are greater than 0.6. The only exception was located within the factor "Tangibility", where the following item TAN2 is below the recommended values.</w:t>
      </w:r>
    </w:p>
    <w:p w14:paraId="291C6208" w14:textId="4074F666" w:rsidR="0033173B" w:rsidRPr="0033173B" w:rsidRDefault="00DD5D5B" w:rsidP="00DD5D5B">
      <w:pPr>
        <w:pStyle w:val="ii-text"/>
      </w:pPr>
      <w:r>
        <w:lastRenderedPageBreak/>
        <w:t xml:space="preserve">Also, the EFA analysis (see Table 2) confirmed that within the factors of quality variables in online higher education, each item is within the given factor, while two items from the "Empathy" factor were extracted in separate factors. </w:t>
      </w:r>
      <w:proofErr w:type="gramStart"/>
      <w:r>
        <w:t>As a consequence</w:t>
      </w:r>
      <w:proofErr w:type="gramEnd"/>
      <w:r>
        <w:t xml:space="preserve">, these two questions have been excluded from the questionnaire. Based on the obtained results of the EFA analysis, it is possible to access further statistical analysis </w:t>
      </w:r>
      <w:proofErr w:type="gramStart"/>
      <w:r>
        <w:t>in order to</w:t>
      </w:r>
      <w:proofErr w:type="gramEnd"/>
      <w:r>
        <w:t xml:space="preserve"> confirm the mutual influence of quality factors in online higher education, which will be the subject of future research directions.</w:t>
      </w:r>
    </w:p>
    <w:p w14:paraId="3821D149" w14:textId="3CF7ED09" w:rsidR="00B55A17" w:rsidRDefault="00D331A1" w:rsidP="00B55A17">
      <w:pPr>
        <w:pStyle w:val="Heading1"/>
        <w:rPr>
          <w:lang w:val="en-GB"/>
        </w:rPr>
      </w:pPr>
      <w:r w:rsidRPr="00FC5AE7">
        <w:rPr>
          <w:lang w:val="en-GB"/>
        </w:rPr>
        <w:t>CONCLUSIONS</w:t>
      </w:r>
    </w:p>
    <w:p w14:paraId="4D00E579" w14:textId="4A1F5B9B" w:rsidR="00B84FF1" w:rsidRPr="00B84FF1" w:rsidRDefault="00B84FF1" w:rsidP="00B84FF1">
      <w:pPr>
        <w:pStyle w:val="ii-REFACK"/>
        <w:rPr>
          <w:b w:val="0"/>
          <w:caps w:val="0"/>
          <w:sz w:val="20"/>
          <w:lang w:eastAsia="ja-JP"/>
        </w:rPr>
      </w:pPr>
      <w:r w:rsidRPr="00B84FF1">
        <w:rPr>
          <w:b w:val="0"/>
          <w:caps w:val="0"/>
          <w:sz w:val="20"/>
          <w:lang w:eastAsia="ja-JP"/>
        </w:rPr>
        <w:t>These studies provide a deeper insight into the dynamics of online higher education in the age of Industry 4.0. Emphasizing the interdependence of the identified variables, the research lays the foundation for further research and development of quality improvement strategies.</w:t>
      </w:r>
      <w:r>
        <w:rPr>
          <w:b w:val="0"/>
          <w:caps w:val="0"/>
          <w:sz w:val="20"/>
          <w:lang w:eastAsia="ja-JP"/>
        </w:rPr>
        <w:t xml:space="preserve"> </w:t>
      </w:r>
      <w:r w:rsidRPr="00B84FF1">
        <w:rPr>
          <w:b w:val="0"/>
          <w:caps w:val="0"/>
          <w:sz w:val="20"/>
          <w:lang w:eastAsia="ja-JP"/>
        </w:rPr>
        <w:t>It is crucial to emphasize that these results can be used as a starting point for the development of specific initiatives and policies aimed at improving the quality of digital educational platforms. The integration of tangibility, reliability, readiness, safety and empathy as key elements in the development and evaluation of digital platforms is the basis for creating educational frameworks that are appropriate for Industry 4.0 and contribute to the construction of fundamental elements for Society 5.0.</w:t>
      </w:r>
    </w:p>
    <w:p w14:paraId="367039FC" w14:textId="77777777" w:rsidR="00B84FF1" w:rsidRPr="00B84FF1" w:rsidRDefault="00B84FF1" w:rsidP="00B84FF1">
      <w:pPr>
        <w:pStyle w:val="ii-REFACK"/>
        <w:rPr>
          <w:b w:val="0"/>
          <w:caps w:val="0"/>
          <w:sz w:val="20"/>
          <w:lang w:eastAsia="ja-JP"/>
        </w:rPr>
      </w:pPr>
      <w:r w:rsidRPr="00B84FF1">
        <w:rPr>
          <w:b w:val="0"/>
          <w:caps w:val="0"/>
          <w:sz w:val="20"/>
          <w:lang w:eastAsia="ja-JP"/>
        </w:rPr>
        <w:t xml:space="preserve">This paper provides a basis for future research efforts aimed at a deeper understanding of quality dynamics in digital educational environments, </w:t>
      </w:r>
      <w:proofErr w:type="gramStart"/>
      <w:r w:rsidRPr="00B84FF1">
        <w:rPr>
          <w:b w:val="0"/>
          <w:caps w:val="0"/>
          <w:sz w:val="20"/>
          <w:lang w:eastAsia="ja-JP"/>
        </w:rPr>
        <w:t>taking into account</w:t>
      </w:r>
      <w:proofErr w:type="gramEnd"/>
      <w:r w:rsidRPr="00B84FF1">
        <w:rPr>
          <w:b w:val="0"/>
          <w:caps w:val="0"/>
          <w:sz w:val="20"/>
          <w:lang w:eastAsia="ja-JP"/>
        </w:rPr>
        <w:t xml:space="preserve"> the comprehensiveness and interconnectedness of the identified variables. The results of the research provide a clear confirmation that all the identified variables are interdependent in the context of online higher education. This dependence indicates the importance of a comprehensive approach to the study of the quality of digital platforms, with special emphasis on tangibility, reliability, readiness, security of digital platforms and empathy in their use. This interconnection of variables indicates the complexity of the digital environment in higher education and the need to integrate all aspects </w:t>
      </w:r>
      <w:proofErr w:type="gramStart"/>
      <w:r w:rsidRPr="00B84FF1">
        <w:rPr>
          <w:b w:val="0"/>
          <w:caps w:val="0"/>
          <w:sz w:val="20"/>
          <w:lang w:eastAsia="ja-JP"/>
        </w:rPr>
        <w:t>in order to</w:t>
      </w:r>
      <w:proofErr w:type="gramEnd"/>
      <w:r w:rsidRPr="00B84FF1">
        <w:rPr>
          <w:b w:val="0"/>
          <w:caps w:val="0"/>
          <w:sz w:val="20"/>
          <w:lang w:eastAsia="ja-JP"/>
        </w:rPr>
        <w:t xml:space="preserve"> achieve optimal quality. Understanding this dependence allows us to construct effective strategies for improving the quality of digital platforms, </w:t>
      </w:r>
      <w:proofErr w:type="gramStart"/>
      <w:r w:rsidRPr="00B84FF1">
        <w:rPr>
          <w:b w:val="0"/>
          <w:caps w:val="0"/>
          <w:sz w:val="20"/>
          <w:lang w:eastAsia="ja-JP"/>
        </w:rPr>
        <w:t>taking into account</w:t>
      </w:r>
      <w:proofErr w:type="gramEnd"/>
      <w:r w:rsidRPr="00B84FF1">
        <w:rPr>
          <w:b w:val="0"/>
          <w:caps w:val="0"/>
          <w:sz w:val="20"/>
          <w:lang w:eastAsia="ja-JP"/>
        </w:rPr>
        <w:t xml:space="preserve"> the mutual influence of various factors.</w:t>
      </w:r>
    </w:p>
    <w:p w14:paraId="100A3972" w14:textId="77777777" w:rsidR="00B84FF1" w:rsidRDefault="00B84FF1" w:rsidP="00B84FF1">
      <w:pPr>
        <w:pStyle w:val="ii-REFACK"/>
        <w:rPr>
          <w:b w:val="0"/>
          <w:caps w:val="0"/>
          <w:sz w:val="20"/>
          <w:lang w:eastAsia="ja-JP"/>
        </w:rPr>
      </w:pPr>
      <w:r w:rsidRPr="00B84FF1">
        <w:rPr>
          <w:b w:val="0"/>
          <w:caps w:val="0"/>
          <w:sz w:val="20"/>
          <w:lang w:eastAsia="ja-JP"/>
        </w:rPr>
        <w:t>Research can also be extended to other universities in Serbia, both state and private, which would increase the number of respondents. Additional comparisons with universities in the region would add value and validity to the results, which gives room for future research. Also, further research can be deepened by analysing the impact and effectiveness of the application of certain digital platforms (e.g. Moodle, Temas or Zoom) in HEIs and quality dimensions.</w:t>
      </w:r>
    </w:p>
    <w:p w14:paraId="7CCCDDCA" w14:textId="300A23C0" w:rsidR="000A529A" w:rsidRDefault="00B55A17" w:rsidP="00B84FF1">
      <w:pPr>
        <w:pStyle w:val="ii-REFACK"/>
      </w:pPr>
      <w:r w:rsidRPr="00FC5AE7">
        <w:t>REFERENCES</w:t>
      </w:r>
    </w:p>
    <w:p w14:paraId="6483E31A" w14:textId="2BD50ECA" w:rsidR="00D76600" w:rsidRPr="000A529A" w:rsidRDefault="00247009" w:rsidP="001263B7">
      <w:pPr>
        <w:pStyle w:val="ii-xREF"/>
      </w:pPr>
      <w:r w:rsidRPr="000A529A">
        <w:t xml:space="preserve">D. </w:t>
      </w:r>
      <w:r w:rsidR="00D76600" w:rsidRPr="000A529A">
        <w:t xml:space="preserve">Pires, &amp; </w:t>
      </w:r>
      <w:r w:rsidR="00E407E1" w:rsidRPr="000A529A">
        <w:t xml:space="preserve">N. </w:t>
      </w:r>
      <w:r w:rsidR="00D76600" w:rsidRPr="000A529A">
        <w:t>Fortes</w:t>
      </w:r>
      <w:r w:rsidR="00E407E1" w:rsidRPr="000A529A">
        <w:t>,</w:t>
      </w:r>
      <w:r w:rsidR="00D76600" w:rsidRPr="000A529A">
        <w:t xml:space="preserve"> </w:t>
      </w:r>
      <w:r w:rsidR="00E407E1" w:rsidRPr="000A529A">
        <w:t>“</w:t>
      </w:r>
      <w:r w:rsidR="00D76600" w:rsidRPr="000A529A">
        <w:t>Determinants of the Adoption of Digital Platforms in Higher Education Institutions by Students</w:t>
      </w:r>
      <w:r w:rsidR="00E407E1" w:rsidRPr="000A529A">
        <w:t>,”</w:t>
      </w:r>
      <w:r w:rsidR="00D76600" w:rsidRPr="000A529A">
        <w:t xml:space="preserve"> In </w:t>
      </w:r>
      <w:r w:rsidR="00D76600" w:rsidRPr="000A529A">
        <w:rPr>
          <w:i/>
          <w:iCs/>
        </w:rPr>
        <w:t>Perspectives and Trends in Education and Technology: Selected Papers from ICITED 2022</w:t>
      </w:r>
      <w:r w:rsidR="00D76600" w:rsidRPr="000A529A">
        <w:t> (pp. 363-373). Singapore: Springer Nature Singapore</w:t>
      </w:r>
      <w:r w:rsidR="002F027F" w:rsidRPr="000A529A">
        <w:t>, 2023.</w:t>
      </w:r>
    </w:p>
    <w:p w14:paraId="269AC8A7" w14:textId="3D6290F8" w:rsidR="00D76600" w:rsidRPr="000A529A" w:rsidRDefault="00E407E1" w:rsidP="001263B7">
      <w:pPr>
        <w:pStyle w:val="ii-xREF"/>
      </w:pPr>
      <w:r w:rsidRPr="000A529A">
        <w:rPr>
          <w:color w:val="000000" w:themeColor="text1"/>
        </w:rPr>
        <w:t xml:space="preserve">E. </w:t>
      </w:r>
      <w:proofErr w:type="spellStart"/>
      <w:r w:rsidR="00D76600" w:rsidRPr="000A529A">
        <w:rPr>
          <w:color w:val="000000" w:themeColor="text1"/>
        </w:rPr>
        <w:t>Zaborova</w:t>
      </w:r>
      <w:proofErr w:type="spellEnd"/>
      <w:r w:rsidR="002F027F" w:rsidRPr="000A529A">
        <w:rPr>
          <w:color w:val="000000" w:themeColor="text1"/>
        </w:rPr>
        <w:t>,</w:t>
      </w:r>
      <w:r w:rsidR="00D76600" w:rsidRPr="000A529A">
        <w:rPr>
          <w:color w:val="000000" w:themeColor="text1"/>
        </w:rPr>
        <w:t xml:space="preserve"> </w:t>
      </w:r>
      <w:r w:rsidR="002F027F" w:rsidRPr="000A529A">
        <w:rPr>
          <w:color w:val="000000" w:themeColor="text1"/>
        </w:rPr>
        <w:t>“</w:t>
      </w:r>
      <w:r w:rsidR="00D76600" w:rsidRPr="000A529A">
        <w:rPr>
          <w:color w:val="000000" w:themeColor="text1"/>
        </w:rPr>
        <w:t>The impact of digital technology on the quality of higher education</w:t>
      </w:r>
      <w:r w:rsidR="002F027F" w:rsidRPr="000A529A">
        <w:rPr>
          <w:color w:val="000000" w:themeColor="text1"/>
        </w:rPr>
        <w:t>,”</w:t>
      </w:r>
      <w:r w:rsidR="00D76600" w:rsidRPr="000A529A">
        <w:rPr>
          <w:color w:val="000000" w:themeColor="text1"/>
        </w:rPr>
        <w:t xml:space="preserve"> </w:t>
      </w:r>
      <w:r w:rsidR="00D76600" w:rsidRPr="000A529A">
        <w:t>In </w:t>
      </w:r>
      <w:r w:rsidR="00D76600" w:rsidRPr="000A529A">
        <w:rPr>
          <w:i/>
          <w:iCs/>
        </w:rPr>
        <w:t>SHS Web of Conferences</w:t>
      </w:r>
      <w:r w:rsidR="00D76600" w:rsidRPr="000A529A">
        <w:t> (Vol. 99, p. 01044). EDP Sciences</w:t>
      </w:r>
      <w:r w:rsidR="002F027F" w:rsidRPr="000A529A">
        <w:t>, 2021.</w:t>
      </w:r>
    </w:p>
    <w:p w14:paraId="18D8F74A" w14:textId="4FA2456A" w:rsidR="000C2339" w:rsidRPr="000A529A" w:rsidRDefault="002F027F" w:rsidP="001263B7">
      <w:pPr>
        <w:pStyle w:val="ii-xREF"/>
      </w:pPr>
      <w:r w:rsidRPr="000A529A">
        <w:t>R.E</w:t>
      </w:r>
      <w:r w:rsidR="002F5A38" w:rsidRPr="000A529A">
        <w:t xml:space="preserve"> </w:t>
      </w:r>
      <w:proofErr w:type="spellStart"/>
      <w:r w:rsidR="000C2339" w:rsidRPr="000A529A">
        <w:t>Bawack</w:t>
      </w:r>
      <w:proofErr w:type="spellEnd"/>
      <w:r w:rsidR="000C2339" w:rsidRPr="000A529A">
        <w:t xml:space="preserve">, </w:t>
      </w:r>
      <w:r w:rsidR="00054F11" w:rsidRPr="000A529A">
        <w:t xml:space="preserve">J.R.K </w:t>
      </w:r>
      <w:proofErr w:type="spellStart"/>
      <w:r w:rsidR="000C2339" w:rsidRPr="000A529A">
        <w:t>Kamdjoug</w:t>
      </w:r>
      <w:proofErr w:type="spellEnd"/>
      <w:r w:rsidR="000C2339" w:rsidRPr="000A529A">
        <w:t>,</w:t>
      </w:r>
      <w:r w:rsidR="00054F11" w:rsidRPr="000A529A">
        <w:t xml:space="preserve"> “</w:t>
      </w:r>
      <w:r w:rsidR="000C2339" w:rsidRPr="000A529A">
        <w:t>The role of digital information use on student performance and collaboration in marginal universities</w:t>
      </w:r>
      <w:r w:rsidR="00054F11" w:rsidRPr="000A529A">
        <w:t>,”</w:t>
      </w:r>
      <w:r w:rsidR="000C2339" w:rsidRPr="000A529A">
        <w:t xml:space="preserve"> </w:t>
      </w:r>
      <w:r w:rsidR="000C2339" w:rsidRPr="000A529A">
        <w:rPr>
          <w:i/>
          <w:iCs/>
        </w:rPr>
        <w:t>Int. J. Inf. Manag</w:t>
      </w:r>
      <w:r w:rsidR="000C2339" w:rsidRPr="000A529A">
        <w:t>. </w:t>
      </w:r>
      <w:r w:rsidR="00054F11" w:rsidRPr="000A529A">
        <w:t xml:space="preserve">Vol. </w:t>
      </w:r>
      <w:r w:rsidR="000C2339" w:rsidRPr="000A529A">
        <w:t>54, 102179 (2020)</w:t>
      </w:r>
    </w:p>
    <w:p w14:paraId="7689949B" w14:textId="77777777" w:rsidR="00A660B0" w:rsidRPr="000A529A" w:rsidRDefault="004661D4" w:rsidP="001263B7">
      <w:pPr>
        <w:pStyle w:val="ii-xREF"/>
      </w:pPr>
      <w:r w:rsidRPr="000A529A">
        <w:rPr>
          <w:color w:val="222222"/>
          <w:shd w:val="clear" w:color="auto" w:fill="FFFFFF"/>
        </w:rPr>
        <w:t xml:space="preserve">S.D.A </w:t>
      </w:r>
      <w:r w:rsidR="000C2339" w:rsidRPr="000A529A">
        <w:rPr>
          <w:color w:val="222222"/>
          <w:shd w:val="clear" w:color="auto" w:fill="FFFFFF"/>
        </w:rPr>
        <w:t xml:space="preserve">Bujang, </w:t>
      </w:r>
      <w:r w:rsidRPr="000A529A">
        <w:rPr>
          <w:color w:val="222222"/>
          <w:shd w:val="clear" w:color="auto" w:fill="FFFFFF"/>
        </w:rPr>
        <w:t xml:space="preserve">A. </w:t>
      </w:r>
      <w:r w:rsidR="000C2339" w:rsidRPr="000A529A">
        <w:rPr>
          <w:color w:val="222222"/>
          <w:shd w:val="clear" w:color="auto" w:fill="FFFFFF"/>
        </w:rPr>
        <w:t xml:space="preserve">Selamat, </w:t>
      </w:r>
      <w:r w:rsidRPr="000A529A">
        <w:rPr>
          <w:color w:val="222222"/>
          <w:shd w:val="clear" w:color="auto" w:fill="FFFFFF"/>
        </w:rPr>
        <w:t>O.</w:t>
      </w:r>
      <w:r w:rsidR="00C67A3C" w:rsidRPr="000A529A">
        <w:rPr>
          <w:color w:val="222222"/>
          <w:shd w:val="clear" w:color="auto" w:fill="FFFFFF"/>
        </w:rPr>
        <w:t xml:space="preserve"> </w:t>
      </w:r>
      <w:proofErr w:type="spellStart"/>
      <w:r w:rsidR="000C2339" w:rsidRPr="000A529A">
        <w:rPr>
          <w:color w:val="222222"/>
          <w:shd w:val="clear" w:color="auto" w:fill="FFFFFF"/>
        </w:rPr>
        <w:t>Krejcar</w:t>
      </w:r>
      <w:proofErr w:type="spellEnd"/>
      <w:r w:rsidR="000C2339" w:rsidRPr="000A529A">
        <w:rPr>
          <w:color w:val="222222"/>
          <w:shd w:val="clear" w:color="auto" w:fill="FFFFFF"/>
        </w:rPr>
        <w:t xml:space="preserve">, </w:t>
      </w:r>
      <w:r w:rsidR="00C67A3C" w:rsidRPr="000A529A">
        <w:rPr>
          <w:color w:val="222222"/>
          <w:shd w:val="clear" w:color="auto" w:fill="FFFFFF"/>
        </w:rPr>
        <w:t xml:space="preserve">P. </w:t>
      </w:r>
      <w:proofErr w:type="spellStart"/>
      <w:r w:rsidR="000C2339" w:rsidRPr="000A529A">
        <w:rPr>
          <w:color w:val="222222"/>
          <w:shd w:val="clear" w:color="auto" w:fill="FFFFFF"/>
        </w:rPr>
        <w:t>Maresova</w:t>
      </w:r>
      <w:proofErr w:type="spellEnd"/>
      <w:r w:rsidR="000C2339" w:rsidRPr="000A529A">
        <w:rPr>
          <w:color w:val="222222"/>
          <w:shd w:val="clear" w:color="auto" w:fill="FFFFFF"/>
        </w:rPr>
        <w:t xml:space="preserve"> &amp; </w:t>
      </w:r>
      <w:r w:rsidR="00C67A3C" w:rsidRPr="000A529A">
        <w:rPr>
          <w:color w:val="222222"/>
          <w:shd w:val="clear" w:color="auto" w:fill="FFFFFF"/>
        </w:rPr>
        <w:t xml:space="preserve">N.T. </w:t>
      </w:r>
      <w:r w:rsidR="000C2339" w:rsidRPr="000A529A">
        <w:rPr>
          <w:color w:val="222222"/>
          <w:shd w:val="clear" w:color="auto" w:fill="FFFFFF"/>
        </w:rPr>
        <w:t>Nguyen. Digital learning demand for future education 4.0—Case studies at Malaysia education institutions. In </w:t>
      </w:r>
      <w:r w:rsidR="000C2339" w:rsidRPr="000A529A">
        <w:rPr>
          <w:i/>
          <w:iCs/>
          <w:color w:val="222222"/>
          <w:shd w:val="clear" w:color="auto" w:fill="FFFFFF"/>
        </w:rPr>
        <w:t>Informatics</w:t>
      </w:r>
      <w:r w:rsidR="00443FF0" w:rsidRPr="000A529A">
        <w:rPr>
          <w:color w:val="222222"/>
          <w:shd w:val="clear" w:color="auto" w:fill="FFFFFF"/>
        </w:rPr>
        <w:t xml:space="preserve">, </w:t>
      </w:r>
      <w:r w:rsidR="000C2339" w:rsidRPr="000A529A">
        <w:rPr>
          <w:color w:val="222222"/>
          <w:shd w:val="clear" w:color="auto" w:fill="FFFFFF"/>
        </w:rPr>
        <w:t>Vol. 7, No. 2, p</w:t>
      </w:r>
      <w:r w:rsidR="00057A6E" w:rsidRPr="000A529A">
        <w:rPr>
          <w:color w:val="222222"/>
          <w:shd w:val="clear" w:color="auto" w:fill="FFFFFF"/>
        </w:rPr>
        <w:t>p.</w:t>
      </w:r>
      <w:r w:rsidR="000C2339" w:rsidRPr="000A529A">
        <w:rPr>
          <w:color w:val="222222"/>
          <w:shd w:val="clear" w:color="auto" w:fill="FFFFFF"/>
        </w:rPr>
        <w:t xml:space="preserve"> 13. MDPI</w:t>
      </w:r>
      <w:r w:rsidR="00543717" w:rsidRPr="000A529A">
        <w:rPr>
          <w:color w:val="222222"/>
          <w:shd w:val="clear" w:color="auto" w:fill="FFFFFF"/>
        </w:rPr>
        <w:t>, 2020.</w:t>
      </w:r>
    </w:p>
    <w:p w14:paraId="0A43D065" w14:textId="1A6D84BA" w:rsidR="006A0029" w:rsidRPr="000A529A" w:rsidRDefault="00443FF0" w:rsidP="001263B7">
      <w:pPr>
        <w:pStyle w:val="ii-xREF"/>
      </w:pPr>
      <w:r w:rsidRPr="000A529A">
        <w:t xml:space="preserve">M.N. </w:t>
      </w:r>
      <w:r w:rsidR="00B62A54" w:rsidRPr="000A529A">
        <w:t xml:space="preserve">Habib, </w:t>
      </w:r>
      <w:r w:rsidR="00E637AC" w:rsidRPr="000A529A">
        <w:t xml:space="preserve">W. </w:t>
      </w:r>
      <w:r w:rsidR="00B62A54" w:rsidRPr="000A529A">
        <w:t xml:space="preserve">Jamal, </w:t>
      </w:r>
      <w:r w:rsidR="00E637AC" w:rsidRPr="000A529A">
        <w:t xml:space="preserve">U. </w:t>
      </w:r>
      <w:r w:rsidR="00B62A54" w:rsidRPr="000A529A">
        <w:t xml:space="preserve">Khalil &amp; </w:t>
      </w:r>
      <w:r w:rsidR="00E637AC" w:rsidRPr="000A529A">
        <w:t xml:space="preserve">Z. </w:t>
      </w:r>
      <w:r w:rsidR="00B62A54" w:rsidRPr="000A529A">
        <w:t>Khan</w:t>
      </w:r>
      <w:r w:rsidR="00C55EC5" w:rsidRPr="000A529A">
        <w:t>, “</w:t>
      </w:r>
      <w:r w:rsidR="00B62A54" w:rsidRPr="000A529A">
        <w:t xml:space="preserve">Transforming universities in interactive digital platform: case of city university of science and information </w:t>
      </w:r>
      <w:proofErr w:type="gramStart"/>
      <w:r w:rsidR="00B62A54" w:rsidRPr="000A529A">
        <w:t>technology</w:t>
      </w:r>
      <w:r w:rsidR="00C55EC5" w:rsidRPr="000A529A">
        <w:t>,“</w:t>
      </w:r>
      <w:proofErr w:type="gramEnd"/>
      <w:r w:rsidR="00C55EC5" w:rsidRPr="000A529A">
        <w:t xml:space="preserve"> </w:t>
      </w:r>
      <w:r w:rsidR="00B62A54" w:rsidRPr="000A529A">
        <w:t>Education and Information Technologies, </w:t>
      </w:r>
      <w:r w:rsidR="00057A6E" w:rsidRPr="000A529A">
        <w:t xml:space="preserve">Vol. </w:t>
      </w:r>
      <w:r w:rsidR="00B62A54" w:rsidRPr="000A529A">
        <w:t xml:space="preserve">26, </w:t>
      </w:r>
      <w:r w:rsidR="00057A6E" w:rsidRPr="000A529A">
        <w:t xml:space="preserve">pp. </w:t>
      </w:r>
      <w:r w:rsidR="00B62A54" w:rsidRPr="000A529A">
        <w:t>517-541.</w:t>
      </w:r>
    </w:p>
    <w:p w14:paraId="46BAF1A1" w14:textId="5B3AC42F" w:rsidR="000C2339" w:rsidRPr="000A529A" w:rsidRDefault="00A660B0" w:rsidP="001263B7">
      <w:pPr>
        <w:pStyle w:val="ii-xREF"/>
      </w:pPr>
      <w:r w:rsidRPr="000A529A">
        <w:rPr>
          <w:color w:val="222222"/>
          <w:shd w:val="clear" w:color="auto" w:fill="FFFFFF"/>
        </w:rPr>
        <w:t xml:space="preserve">S. </w:t>
      </w:r>
      <w:r w:rsidR="006A0029" w:rsidRPr="000A529A">
        <w:rPr>
          <w:color w:val="222222"/>
          <w:shd w:val="clear" w:color="auto" w:fill="FFFFFF"/>
        </w:rPr>
        <w:t xml:space="preserve">Wawak, </w:t>
      </w:r>
      <w:r w:rsidRPr="000A529A">
        <w:rPr>
          <w:color w:val="222222"/>
          <w:shd w:val="clear" w:color="auto" w:fill="FFFFFF"/>
        </w:rPr>
        <w:t>J.P. T</w:t>
      </w:r>
      <w:r w:rsidR="006A0029" w:rsidRPr="000A529A">
        <w:rPr>
          <w:color w:val="222222"/>
          <w:shd w:val="clear" w:color="auto" w:fill="FFFFFF"/>
        </w:rPr>
        <w:t xml:space="preserve">eixeira Domingues, &amp; </w:t>
      </w:r>
      <w:r w:rsidRPr="000A529A">
        <w:rPr>
          <w:color w:val="222222"/>
          <w:shd w:val="clear" w:color="auto" w:fill="FFFFFF"/>
        </w:rPr>
        <w:t xml:space="preserve">P. </w:t>
      </w:r>
      <w:r w:rsidR="006A0029" w:rsidRPr="000A529A">
        <w:rPr>
          <w:color w:val="222222"/>
          <w:shd w:val="clear" w:color="auto" w:fill="FFFFFF"/>
        </w:rPr>
        <w:t xml:space="preserve">Sampaio, </w:t>
      </w:r>
      <w:r w:rsidRPr="000A529A">
        <w:rPr>
          <w:color w:val="222222"/>
          <w:shd w:val="clear" w:color="auto" w:fill="FFFFFF"/>
        </w:rPr>
        <w:t>“</w:t>
      </w:r>
      <w:r w:rsidR="006A0029" w:rsidRPr="000A529A">
        <w:rPr>
          <w:color w:val="222222"/>
          <w:shd w:val="clear" w:color="auto" w:fill="FFFFFF"/>
        </w:rPr>
        <w:t>Quality 4.0 in higher education: reinventing academic-industry-government collaboration during disruptive times</w:t>
      </w:r>
      <w:r w:rsidRPr="000A529A">
        <w:rPr>
          <w:color w:val="222222"/>
          <w:shd w:val="clear" w:color="auto" w:fill="FFFFFF"/>
        </w:rPr>
        <w:t>,”</w:t>
      </w:r>
      <w:r w:rsidR="006A0029" w:rsidRPr="000A529A">
        <w:rPr>
          <w:color w:val="222222"/>
          <w:shd w:val="clear" w:color="auto" w:fill="FFFFFF"/>
        </w:rPr>
        <w:t> </w:t>
      </w:r>
      <w:r w:rsidR="006A0029" w:rsidRPr="000A529A">
        <w:rPr>
          <w:i/>
          <w:iCs/>
          <w:color w:val="222222"/>
          <w:shd w:val="clear" w:color="auto" w:fill="FFFFFF"/>
        </w:rPr>
        <w:t>The TQM Journal</w:t>
      </w:r>
      <w:r w:rsidRPr="000A529A">
        <w:rPr>
          <w:color w:val="222222"/>
          <w:shd w:val="clear" w:color="auto" w:fill="FFFFFF"/>
        </w:rPr>
        <w:t xml:space="preserve">, </w:t>
      </w:r>
      <w:r w:rsidR="000A7AE6" w:rsidRPr="000A529A">
        <w:rPr>
          <w:color w:val="222222"/>
          <w:shd w:val="clear" w:color="auto" w:fill="FFFFFF"/>
        </w:rPr>
        <w:t>Vol. ahead-of-print No. ahead-of-print</w:t>
      </w:r>
      <w:r w:rsidR="00F64BED" w:rsidRPr="000A529A">
        <w:rPr>
          <w:color w:val="222222"/>
          <w:shd w:val="clear" w:color="auto" w:fill="FFFFFF"/>
        </w:rPr>
        <w:t>,</w:t>
      </w:r>
      <w:r w:rsidR="000A7AE6" w:rsidRPr="000A529A">
        <w:rPr>
          <w:color w:val="222222"/>
          <w:shd w:val="clear" w:color="auto" w:fill="FFFFFF"/>
        </w:rPr>
        <w:t xml:space="preserve"> https://doi.org/10.1108/TQM-07-2023-0219 </w:t>
      </w:r>
      <w:r w:rsidRPr="000A529A">
        <w:rPr>
          <w:color w:val="222222"/>
          <w:shd w:val="clear" w:color="auto" w:fill="FFFFFF"/>
        </w:rPr>
        <w:t>2023.</w:t>
      </w:r>
    </w:p>
    <w:p w14:paraId="4D3B8636" w14:textId="35F1E97D" w:rsidR="006A0029" w:rsidRPr="000A529A" w:rsidRDefault="00F64BED" w:rsidP="001263B7">
      <w:pPr>
        <w:pStyle w:val="ii-xREF"/>
      </w:pPr>
      <w:r w:rsidRPr="000A529A">
        <w:lastRenderedPageBreak/>
        <w:t xml:space="preserve">S. </w:t>
      </w:r>
      <w:r w:rsidR="006A0029" w:rsidRPr="000A529A">
        <w:t xml:space="preserve">Fatima, </w:t>
      </w:r>
      <w:r w:rsidRPr="000A529A">
        <w:t xml:space="preserve">S. </w:t>
      </w:r>
      <w:r w:rsidR="006A0029" w:rsidRPr="000A529A">
        <w:t xml:space="preserve">Fatima, &amp; </w:t>
      </w:r>
      <w:r w:rsidRPr="000A529A">
        <w:t xml:space="preserve">N. </w:t>
      </w:r>
      <w:r w:rsidR="006A0029" w:rsidRPr="000A529A">
        <w:t>Fatima</w:t>
      </w:r>
      <w:r w:rsidRPr="000A529A">
        <w:t>,</w:t>
      </w:r>
      <w:r w:rsidR="006A0029" w:rsidRPr="000A529A">
        <w:t xml:space="preserve"> </w:t>
      </w:r>
      <w:r w:rsidRPr="000A529A">
        <w:t>“</w:t>
      </w:r>
      <w:r w:rsidR="006A0029" w:rsidRPr="000A529A">
        <w:t>Measuring the Students' Satisfaction and Service Quality Perceptions of Private Sector Higher Education Institutions</w:t>
      </w:r>
      <w:r w:rsidRPr="000A529A">
        <w:t>,”</w:t>
      </w:r>
      <w:r w:rsidR="006A0029" w:rsidRPr="000A529A">
        <w:t xml:space="preserve"> </w:t>
      </w:r>
      <w:r w:rsidR="006A0029" w:rsidRPr="000A529A">
        <w:rPr>
          <w:i/>
          <w:iCs/>
        </w:rPr>
        <w:t>Paradigms</w:t>
      </w:r>
      <w:r w:rsidR="006A0029" w:rsidRPr="000A529A">
        <w:t xml:space="preserve">, </w:t>
      </w:r>
      <w:r w:rsidRPr="000A529A">
        <w:t xml:space="preserve">Vol. </w:t>
      </w:r>
      <w:r w:rsidR="006A0029" w:rsidRPr="000A529A">
        <w:t>14</w:t>
      </w:r>
      <w:r w:rsidRPr="000A529A">
        <w:t xml:space="preserve">, No. </w:t>
      </w:r>
      <w:r w:rsidR="006A0029" w:rsidRPr="000A529A">
        <w:t xml:space="preserve">1, </w:t>
      </w:r>
      <w:r w:rsidRPr="000A529A">
        <w:t xml:space="preserve">pp. </w:t>
      </w:r>
      <w:r w:rsidR="006A0029" w:rsidRPr="000A529A">
        <w:t>153-156</w:t>
      </w:r>
      <w:r w:rsidRPr="000A529A">
        <w:t>, 2020.</w:t>
      </w:r>
    </w:p>
    <w:p w14:paraId="23A6D5B3" w14:textId="5E9DEC3A" w:rsidR="00247009" w:rsidRPr="000A529A" w:rsidRDefault="009B6C03" w:rsidP="001263B7">
      <w:pPr>
        <w:pStyle w:val="ii-xREF"/>
      </w:pPr>
      <w:r w:rsidRPr="000A529A">
        <w:t xml:space="preserve">A. </w:t>
      </w:r>
      <w:r w:rsidR="00247009" w:rsidRPr="000A529A">
        <w:t xml:space="preserve">Parasuraman, </w:t>
      </w:r>
      <w:r w:rsidRPr="000A529A">
        <w:t xml:space="preserve">V.A. </w:t>
      </w:r>
      <w:r w:rsidR="00247009" w:rsidRPr="000A529A">
        <w:t xml:space="preserve">Zeithaml, </w:t>
      </w:r>
      <w:r w:rsidRPr="000A529A">
        <w:t>&amp;</w:t>
      </w:r>
      <w:r w:rsidR="00247009" w:rsidRPr="000A529A">
        <w:t xml:space="preserve"> </w:t>
      </w:r>
      <w:r w:rsidRPr="000A529A">
        <w:t xml:space="preserve">L.L </w:t>
      </w:r>
      <w:r w:rsidR="00247009" w:rsidRPr="000A529A">
        <w:t>Berry</w:t>
      </w:r>
      <w:r w:rsidRPr="000A529A">
        <w:t>,</w:t>
      </w:r>
      <w:r w:rsidR="00247009" w:rsidRPr="000A529A">
        <w:t xml:space="preserve"> </w:t>
      </w:r>
      <w:r w:rsidRPr="000A529A">
        <w:t>“</w:t>
      </w:r>
      <w:r w:rsidR="00247009" w:rsidRPr="000A529A">
        <w:t>SERVQUAL: a multiple-item scale for measuring consumer perc</w:t>
      </w:r>
      <w:r w:rsidR="002E7FC7" w:rsidRPr="000A529A">
        <w:t>eption</w:t>
      </w:r>
      <w:r w:rsidR="0057627C" w:rsidRPr="000A529A">
        <w:t xml:space="preserve"> of service quality</w:t>
      </w:r>
      <w:r w:rsidRPr="000A529A">
        <w:t>,”</w:t>
      </w:r>
      <w:r w:rsidR="00247009" w:rsidRPr="000A529A">
        <w:t xml:space="preserve"> </w:t>
      </w:r>
      <w:r w:rsidR="00247009" w:rsidRPr="000A529A">
        <w:rPr>
          <w:i/>
          <w:iCs/>
        </w:rPr>
        <w:t>Journal of Retailing</w:t>
      </w:r>
      <w:r w:rsidR="002E7FC7" w:rsidRPr="000A529A">
        <w:rPr>
          <w:i/>
          <w:iCs/>
        </w:rPr>
        <w:t xml:space="preserve">, </w:t>
      </w:r>
      <w:r w:rsidRPr="000A529A">
        <w:t xml:space="preserve">Vol. </w:t>
      </w:r>
      <w:r w:rsidR="00247009" w:rsidRPr="000A529A">
        <w:t>64</w:t>
      </w:r>
      <w:r w:rsidRPr="000A529A">
        <w:t xml:space="preserve">, No. </w:t>
      </w:r>
      <w:r w:rsidR="00247009" w:rsidRPr="000A529A">
        <w:t xml:space="preserve">1, </w:t>
      </w:r>
      <w:r w:rsidRPr="000A529A">
        <w:t xml:space="preserve">pp. </w:t>
      </w:r>
      <w:r w:rsidR="00247009" w:rsidRPr="000A529A">
        <w:t>12-40</w:t>
      </w:r>
      <w:r w:rsidRPr="000A529A">
        <w:t>, 1988.</w:t>
      </w:r>
      <w:r w:rsidR="00247009" w:rsidRPr="000A529A">
        <w:t xml:space="preserve"> </w:t>
      </w:r>
    </w:p>
    <w:p w14:paraId="706CB154" w14:textId="662E4B72" w:rsidR="00247009" w:rsidRPr="000A529A" w:rsidRDefault="009B6C03" w:rsidP="001263B7">
      <w:pPr>
        <w:pStyle w:val="ii-xREF"/>
      </w:pPr>
      <w:r w:rsidRPr="000A529A">
        <w:rPr>
          <w:color w:val="222222"/>
          <w:shd w:val="clear" w:color="auto" w:fill="FFFFFF"/>
        </w:rPr>
        <w:t xml:space="preserve">K. </w:t>
      </w:r>
      <w:r w:rsidR="00247009" w:rsidRPr="000A529A">
        <w:rPr>
          <w:color w:val="222222"/>
          <w:shd w:val="clear" w:color="auto" w:fill="FFFFFF"/>
        </w:rPr>
        <w:t xml:space="preserve">Uma Mageswary, &amp; </w:t>
      </w:r>
      <w:r w:rsidR="0057627C" w:rsidRPr="000A529A">
        <w:rPr>
          <w:color w:val="222222"/>
          <w:shd w:val="clear" w:color="auto" w:fill="FFFFFF"/>
        </w:rPr>
        <w:t xml:space="preserve">C.H. </w:t>
      </w:r>
      <w:r w:rsidR="00247009" w:rsidRPr="000A529A">
        <w:rPr>
          <w:color w:val="222222"/>
          <w:shd w:val="clear" w:color="auto" w:fill="FFFFFF"/>
        </w:rPr>
        <w:t>Wong, C</w:t>
      </w:r>
      <w:r w:rsidR="0057627C" w:rsidRPr="000A529A">
        <w:rPr>
          <w:color w:val="222222"/>
          <w:shd w:val="clear" w:color="auto" w:fill="FFFFFF"/>
        </w:rPr>
        <w:t>, “</w:t>
      </w:r>
      <w:r w:rsidR="00247009" w:rsidRPr="000A529A">
        <w:rPr>
          <w:color w:val="222222"/>
          <w:shd w:val="clear" w:color="auto" w:fill="FFFFFF"/>
        </w:rPr>
        <w:t>Service Quality and Students' Satisfaction in Public Higher Education Institutions During Covid-19 in Malaysia</w:t>
      </w:r>
      <w:r w:rsidR="0057627C" w:rsidRPr="000A529A">
        <w:rPr>
          <w:color w:val="222222"/>
          <w:shd w:val="clear" w:color="auto" w:fill="FFFFFF"/>
        </w:rPr>
        <w:t>,”</w:t>
      </w:r>
      <w:r w:rsidR="00247009" w:rsidRPr="000A529A">
        <w:rPr>
          <w:color w:val="222222"/>
          <w:shd w:val="clear" w:color="auto" w:fill="FFFFFF"/>
        </w:rPr>
        <w:t> </w:t>
      </w:r>
      <w:r w:rsidR="00247009" w:rsidRPr="000A529A">
        <w:rPr>
          <w:i/>
          <w:iCs/>
          <w:color w:val="222222"/>
          <w:shd w:val="clear" w:color="auto" w:fill="FFFFFF"/>
        </w:rPr>
        <w:t>Journal of Business and Social Sciences</w:t>
      </w:r>
      <w:r w:rsidR="00247009" w:rsidRPr="000A529A">
        <w:rPr>
          <w:color w:val="222222"/>
          <w:shd w:val="clear" w:color="auto" w:fill="FFFFFF"/>
        </w:rPr>
        <w:t>, </w:t>
      </w:r>
      <w:r w:rsidR="0008410D" w:rsidRPr="000A529A">
        <w:rPr>
          <w:color w:val="222222"/>
          <w:shd w:val="clear" w:color="auto" w:fill="FFFFFF"/>
        </w:rPr>
        <w:t xml:space="preserve">Vol. </w:t>
      </w:r>
      <w:r w:rsidR="00247009" w:rsidRPr="000A529A">
        <w:rPr>
          <w:color w:val="222222"/>
          <w:shd w:val="clear" w:color="auto" w:fill="FFFFFF"/>
        </w:rPr>
        <w:t>2021</w:t>
      </w:r>
      <w:r w:rsidR="0008410D" w:rsidRPr="000A529A">
        <w:rPr>
          <w:color w:val="222222"/>
          <w:shd w:val="clear" w:color="auto" w:fill="FFFFFF"/>
        </w:rPr>
        <w:t xml:space="preserve">, No. </w:t>
      </w:r>
      <w:r w:rsidR="00247009" w:rsidRPr="000A529A">
        <w:rPr>
          <w:color w:val="222222"/>
          <w:shd w:val="clear" w:color="auto" w:fill="FFFFFF"/>
        </w:rPr>
        <w:t>01</w:t>
      </w:r>
      <w:r w:rsidR="0002298C" w:rsidRPr="000A529A">
        <w:rPr>
          <w:color w:val="222222"/>
          <w:shd w:val="clear" w:color="auto" w:fill="FFFFFF"/>
        </w:rPr>
        <w:t>, 2021.</w:t>
      </w:r>
    </w:p>
    <w:p w14:paraId="7DE6684B" w14:textId="77777777" w:rsidR="000A529A" w:rsidRPr="000A529A" w:rsidRDefault="0002298C" w:rsidP="001263B7">
      <w:pPr>
        <w:pStyle w:val="ii-xREF"/>
      </w:pPr>
      <w:r w:rsidRPr="000A529A">
        <w:rPr>
          <w:color w:val="000000" w:themeColor="text1"/>
        </w:rPr>
        <w:t xml:space="preserve">J.F. </w:t>
      </w:r>
      <w:r w:rsidR="00247009" w:rsidRPr="000A529A">
        <w:rPr>
          <w:color w:val="000000" w:themeColor="text1"/>
        </w:rPr>
        <w:t xml:space="preserve">Hair, </w:t>
      </w:r>
      <w:r w:rsidRPr="000A529A">
        <w:rPr>
          <w:color w:val="000000" w:themeColor="text1"/>
        </w:rPr>
        <w:t xml:space="preserve">R.E. </w:t>
      </w:r>
      <w:r w:rsidR="00247009" w:rsidRPr="000A529A">
        <w:rPr>
          <w:color w:val="000000" w:themeColor="text1"/>
        </w:rPr>
        <w:t xml:space="preserve">Anderson, </w:t>
      </w:r>
      <w:r w:rsidRPr="000A529A">
        <w:rPr>
          <w:color w:val="000000" w:themeColor="text1"/>
        </w:rPr>
        <w:t xml:space="preserve">R.L. </w:t>
      </w:r>
      <w:r w:rsidR="00247009" w:rsidRPr="000A529A">
        <w:rPr>
          <w:color w:val="000000" w:themeColor="text1"/>
        </w:rPr>
        <w:t xml:space="preserve">Tatham, </w:t>
      </w:r>
      <w:r w:rsidR="00B4636C" w:rsidRPr="000A529A">
        <w:rPr>
          <w:color w:val="000000" w:themeColor="text1"/>
        </w:rPr>
        <w:t>&amp;</w:t>
      </w:r>
      <w:r w:rsidR="00247009" w:rsidRPr="000A529A">
        <w:rPr>
          <w:color w:val="000000" w:themeColor="text1"/>
        </w:rPr>
        <w:t xml:space="preserve"> </w:t>
      </w:r>
      <w:r w:rsidR="00B4636C" w:rsidRPr="000A529A">
        <w:rPr>
          <w:color w:val="000000" w:themeColor="text1"/>
        </w:rPr>
        <w:t xml:space="preserve">W.C. </w:t>
      </w:r>
      <w:r w:rsidR="00247009" w:rsidRPr="000A529A">
        <w:rPr>
          <w:color w:val="000000" w:themeColor="text1"/>
        </w:rPr>
        <w:t xml:space="preserve">Black, </w:t>
      </w:r>
      <w:r w:rsidR="00247009" w:rsidRPr="000A529A">
        <w:rPr>
          <w:i/>
          <w:iCs/>
          <w:color w:val="000000" w:themeColor="text1"/>
        </w:rPr>
        <w:t>Multivariate Data Analysis with Reading, Prentice – Hall</w:t>
      </w:r>
      <w:r w:rsidR="00247009" w:rsidRPr="000A529A">
        <w:rPr>
          <w:color w:val="000000" w:themeColor="text1"/>
        </w:rPr>
        <w:t>, Englewood Cliffs, NJ</w:t>
      </w:r>
      <w:r w:rsidR="00B4636C" w:rsidRPr="000A529A">
        <w:rPr>
          <w:color w:val="000000" w:themeColor="text1"/>
        </w:rPr>
        <w:t>, 1998.</w:t>
      </w:r>
    </w:p>
    <w:p w14:paraId="768A6FE7" w14:textId="3983DD1B" w:rsidR="004D5C63" w:rsidRPr="00880C20" w:rsidRDefault="000A529A" w:rsidP="001263B7">
      <w:pPr>
        <w:pStyle w:val="ii-xREF"/>
      </w:pPr>
      <w:r>
        <w:rPr>
          <w:color w:val="000000" w:themeColor="text1"/>
        </w:rPr>
        <w:t xml:space="preserve">S.J. </w:t>
      </w:r>
      <w:proofErr w:type="spellStart"/>
      <w:r w:rsidRPr="000A529A">
        <w:rPr>
          <w:color w:val="000000" w:themeColor="text1"/>
        </w:rPr>
        <w:t>Coakes</w:t>
      </w:r>
      <w:proofErr w:type="spellEnd"/>
      <w:r>
        <w:rPr>
          <w:color w:val="000000" w:themeColor="text1"/>
        </w:rPr>
        <w:t xml:space="preserve"> </w:t>
      </w:r>
      <w:r w:rsidRPr="000A529A">
        <w:rPr>
          <w:color w:val="000000" w:themeColor="text1"/>
        </w:rPr>
        <w:t xml:space="preserve">&amp; </w:t>
      </w:r>
      <w:r>
        <w:rPr>
          <w:color w:val="000000" w:themeColor="text1"/>
        </w:rPr>
        <w:t xml:space="preserve">L.G. </w:t>
      </w:r>
      <w:r w:rsidRPr="000A529A">
        <w:rPr>
          <w:color w:val="000000" w:themeColor="text1"/>
        </w:rPr>
        <w:t>Steed</w:t>
      </w:r>
      <w:r>
        <w:rPr>
          <w:color w:val="000000" w:themeColor="text1"/>
        </w:rPr>
        <w:t xml:space="preserve">, </w:t>
      </w:r>
      <w:r w:rsidRPr="000A529A">
        <w:rPr>
          <w:i/>
          <w:iCs/>
          <w:color w:val="000000" w:themeColor="text1"/>
        </w:rPr>
        <w:t>SPSS: Analysis Without Anguish:(version 6.1 for IBM &amp; Macintosh Users</w:t>
      </w:r>
      <w:r>
        <w:rPr>
          <w:color w:val="000000" w:themeColor="text1"/>
        </w:rPr>
        <w:t>,</w:t>
      </w:r>
      <w:r w:rsidRPr="000A529A">
        <w:rPr>
          <w:color w:val="000000" w:themeColor="text1"/>
        </w:rPr>
        <w:t xml:space="preserve"> John Wiley &amp; Sons</w:t>
      </w:r>
      <w:r>
        <w:rPr>
          <w:color w:val="000000" w:themeColor="text1"/>
        </w:rPr>
        <w:t>, 1997.</w:t>
      </w:r>
    </w:p>
    <w:p w14:paraId="0DEC6D3C" w14:textId="77777777" w:rsidR="00880C20" w:rsidRDefault="00880C20" w:rsidP="00880C20">
      <w:pPr>
        <w:pStyle w:val="ii-xREF"/>
      </w:pPr>
      <w:r>
        <w:t>V. Choubey &amp; H. Bapat, Online Education: A SERVQUAL perspective. Solid State Technology, Vol. 63, No. 6, 2020.</w:t>
      </w:r>
    </w:p>
    <w:p w14:paraId="42274182" w14:textId="77777777" w:rsidR="00880C20" w:rsidRDefault="00880C20" w:rsidP="00880C20">
      <w:pPr>
        <w:pStyle w:val="ii-xREF"/>
      </w:pPr>
      <w:r>
        <w:t xml:space="preserve">L. Ocampo, C. Abarca, C. Abarca, N. Godes, E. </w:t>
      </w:r>
      <w:proofErr w:type="spellStart"/>
      <w:r>
        <w:t>Pelola</w:t>
      </w:r>
      <w:proofErr w:type="spellEnd"/>
      <w:r>
        <w:t xml:space="preserve">, M. </w:t>
      </w:r>
      <w:proofErr w:type="spellStart"/>
      <w:r>
        <w:t>Pensona</w:t>
      </w:r>
      <w:proofErr w:type="spellEnd"/>
      <w:proofErr w:type="gramStart"/>
      <w:r>
        <w:t xml:space="preserve"> ,...</w:t>
      </w:r>
      <w:proofErr w:type="gramEnd"/>
      <w:r>
        <w:t xml:space="preserve"> &amp; R. Ancheta, Utilizing DEMATEL for value-embedded e-learning during the COVID-19 pandemic. Education Research International, Vol. 1-12, 2021.</w:t>
      </w:r>
    </w:p>
    <w:p w14:paraId="461802BE" w14:textId="238DC587" w:rsidR="00880C20" w:rsidRPr="001263B7" w:rsidRDefault="00880C20" w:rsidP="001263B7">
      <w:pPr>
        <w:pStyle w:val="ii-xREF"/>
      </w:pPr>
      <w:r>
        <w:t xml:space="preserve">P. T. </w:t>
      </w:r>
      <w:r w:rsidRPr="00880C20">
        <w:t xml:space="preserve">Nguyen, </w:t>
      </w:r>
      <w:r>
        <w:t xml:space="preserve">Q. L. H. T. T. </w:t>
      </w:r>
      <w:r w:rsidRPr="00880C20">
        <w:t>Nguyen, Nguyen, L. T., &amp; Huynh, V. D. B. (2022). Factors Affecting Vietnamese Higher Education Quality in the Context of Industry 4.0. Vietnam Journal of Education, 225-237.</w:t>
      </w:r>
    </w:p>
    <w:sectPr w:rsidR="00880C20" w:rsidRPr="001263B7" w:rsidSect="0040014B">
      <w:headerReference w:type="even" r:id="rId8"/>
      <w:headerReference w:type="default" r:id="rId9"/>
      <w:footerReference w:type="even" r:id="rId10"/>
      <w:footerReference w:type="default" r:id="rId11"/>
      <w:headerReference w:type="first" r:id="rId12"/>
      <w:footerReference w:type="first" r:id="rId13"/>
      <w:pgSz w:w="11907" w:h="16839" w:code="9"/>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27B67" w14:textId="77777777" w:rsidR="0040014B" w:rsidRDefault="0040014B" w:rsidP="00896823">
      <w:pPr>
        <w:spacing w:before="0" w:after="0"/>
      </w:pPr>
      <w:r>
        <w:separator/>
      </w:r>
    </w:p>
  </w:endnote>
  <w:endnote w:type="continuationSeparator" w:id="0">
    <w:p w14:paraId="08A80EF2" w14:textId="77777777" w:rsidR="0040014B" w:rsidRDefault="0040014B"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9EA2" w14:textId="77777777" w:rsidR="009C17C2" w:rsidRDefault="009C1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A596" w14:textId="77777777" w:rsidR="009C17C2" w:rsidRPr="009C17C2" w:rsidRDefault="009C17C2" w:rsidP="009C1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6B96" w14:textId="77777777" w:rsidR="009C17C2" w:rsidRDefault="009C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1B01" w14:textId="77777777" w:rsidR="0040014B" w:rsidRDefault="0040014B" w:rsidP="00896823">
      <w:pPr>
        <w:spacing w:before="0" w:after="0"/>
      </w:pPr>
    </w:p>
  </w:footnote>
  <w:footnote w:type="continuationSeparator" w:id="0">
    <w:p w14:paraId="543FA30B" w14:textId="77777777" w:rsidR="0040014B" w:rsidRDefault="0040014B" w:rsidP="00896823">
      <w:pPr>
        <w:spacing w:before="0" w:after="0"/>
      </w:pPr>
    </w:p>
  </w:footnote>
  <w:footnote w:type="continuationNotice" w:id="1">
    <w:p w14:paraId="571FC451" w14:textId="77777777" w:rsidR="0040014B" w:rsidRDefault="004001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7EC5" w14:textId="77777777" w:rsidR="009C17C2" w:rsidRDefault="009C1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8BAC" w14:textId="77777777" w:rsidR="009C17C2" w:rsidRPr="009C17C2" w:rsidRDefault="009C17C2" w:rsidP="009C1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15AB" w14:textId="77777777" w:rsidR="009C17C2" w:rsidRDefault="009C1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84746DA"/>
    <w:multiLevelType w:val="hybridMultilevel"/>
    <w:tmpl w:val="E7A425A2"/>
    <w:lvl w:ilvl="0" w:tplc="2A72AF10">
      <w:numFmt w:val="bullet"/>
      <w:pStyle w:val="ii5"/>
      <w:lvlText w:val=""/>
      <w:lvlJc w:val="left"/>
      <w:pPr>
        <w:ind w:left="720" w:hanging="360"/>
      </w:pPr>
      <w:rPr>
        <w:rFonts w:ascii="Wingdings" w:eastAsia="Times New Roman" w:hAnsi="Wingdings"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F43393"/>
    <w:multiLevelType w:val="multilevel"/>
    <w:tmpl w:val="D52444CA"/>
    <w:styleLink w:val="References"/>
    <w:lvl w:ilvl="0">
      <w:start w:val="1"/>
      <w:numFmt w:val="decimal"/>
      <w:pStyle w:val="ii-xREF"/>
      <w:lvlText w:val="[%1]"/>
      <w:lvlJc w:val="left"/>
      <w:pPr>
        <w:tabs>
          <w:tab w:val="num" w:pos="567"/>
        </w:tabs>
        <w:ind w:left="567" w:hanging="56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E43C2A"/>
    <w:multiLevelType w:val="multilevel"/>
    <w:tmpl w:val="D2AA4232"/>
    <w:name w:val="II_A3"/>
    <w:numStyleLink w:val="Circle"/>
  </w:abstractNum>
  <w:abstractNum w:abstractNumId="4" w15:restartNumberingAfterBreak="0">
    <w:nsid w:val="0F845E2F"/>
    <w:multiLevelType w:val="multilevel"/>
    <w:tmpl w:val="D2AA4232"/>
    <w:styleLink w:val="Circle"/>
    <w:lvl w:ilvl="0">
      <w:start w:val="1"/>
      <w:numFmt w:val="bullet"/>
      <w:pStyle w:val="ii-viny-O"/>
      <w:lvlText w:val=""/>
      <w:lvlJc w:val="left"/>
      <w:pPr>
        <w:tabs>
          <w:tab w:val="num" w:pos="567"/>
        </w:tabs>
        <w:ind w:left="567" w:hanging="283"/>
      </w:pPr>
      <w:rPr>
        <w:rFonts w:ascii="Symbol" w:hAnsi="Symbol" w:hint="default"/>
      </w:rPr>
    </w:lvl>
    <w:lvl w:ilvl="1">
      <w:start w:val="1"/>
      <w:numFmt w:val="bullet"/>
      <w:pStyle w:val="ii-viny-oo"/>
      <w:lvlText w:val="o"/>
      <w:lvlJc w:val="left"/>
      <w:pPr>
        <w:tabs>
          <w:tab w:val="num" w:pos="851"/>
        </w:tabs>
        <w:ind w:left="851" w:hanging="284"/>
      </w:pPr>
      <w:rPr>
        <w:rFonts w:ascii="Courier New" w:hAnsi="Courier New" w:hint="default"/>
        <w:sz w:val="20"/>
      </w:rPr>
    </w:lvl>
    <w:lvl w:ilvl="2">
      <w:start w:val="1"/>
      <w:numFmt w:val="bullet"/>
      <w:pStyle w:val="ii-viny-ooo"/>
      <w:lvlText w:val=""/>
      <w:lvlJc w:val="left"/>
      <w:pPr>
        <w:tabs>
          <w:tab w:val="num" w:pos="1134"/>
        </w:tabs>
        <w:ind w:left="1134" w:hanging="283"/>
      </w:pPr>
      <w:rPr>
        <w:rFonts w:ascii="Wingdings" w:hAnsi="Wingdings" w:hint="default"/>
      </w:rPr>
    </w:lvl>
    <w:lvl w:ilvl="3">
      <w:start w:val="1"/>
      <w:numFmt w:val="bullet"/>
      <w:lvlText w:val=""/>
      <w:lvlJc w:val="left"/>
      <w:pPr>
        <w:tabs>
          <w:tab w:val="num" w:pos="3690"/>
        </w:tabs>
        <w:ind w:left="2271" w:hanging="283"/>
      </w:pPr>
      <w:rPr>
        <w:rFonts w:ascii="Symbol" w:hAnsi="Symbol" w:hint="default"/>
      </w:rPr>
    </w:lvl>
    <w:lvl w:ilvl="4">
      <w:start w:val="1"/>
      <w:numFmt w:val="bullet"/>
      <w:lvlText w:val="o"/>
      <w:lvlJc w:val="left"/>
      <w:pPr>
        <w:tabs>
          <w:tab w:val="num" w:pos="3974"/>
        </w:tabs>
        <w:ind w:left="2555" w:hanging="283"/>
      </w:pPr>
      <w:rPr>
        <w:rFonts w:ascii="Courier New" w:hAnsi="Courier New" w:cs="Courier New" w:hint="default"/>
      </w:rPr>
    </w:lvl>
    <w:lvl w:ilvl="5">
      <w:start w:val="1"/>
      <w:numFmt w:val="bullet"/>
      <w:lvlText w:val=""/>
      <w:lvlJc w:val="left"/>
      <w:pPr>
        <w:tabs>
          <w:tab w:val="num" w:pos="4258"/>
        </w:tabs>
        <w:ind w:left="2839" w:hanging="283"/>
      </w:pPr>
      <w:rPr>
        <w:rFonts w:ascii="Wingdings" w:hAnsi="Wingdings" w:hint="default"/>
      </w:rPr>
    </w:lvl>
    <w:lvl w:ilvl="6">
      <w:start w:val="1"/>
      <w:numFmt w:val="bullet"/>
      <w:lvlText w:val=""/>
      <w:lvlJc w:val="left"/>
      <w:pPr>
        <w:tabs>
          <w:tab w:val="num" w:pos="4542"/>
        </w:tabs>
        <w:ind w:left="3123" w:hanging="283"/>
      </w:pPr>
      <w:rPr>
        <w:rFonts w:ascii="Symbol" w:hAnsi="Symbol" w:hint="default"/>
      </w:rPr>
    </w:lvl>
    <w:lvl w:ilvl="7">
      <w:start w:val="1"/>
      <w:numFmt w:val="bullet"/>
      <w:lvlText w:val="o"/>
      <w:lvlJc w:val="left"/>
      <w:pPr>
        <w:tabs>
          <w:tab w:val="num" w:pos="4826"/>
        </w:tabs>
        <w:ind w:left="3407" w:hanging="283"/>
      </w:pPr>
      <w:rPr>
        <w:rFonts w:ascii="Courier New" w:hAnsi="Courier New" w:cs="Courier New" w:hint="default"/>
      </w:rPr>
    </w:lvl>
    <w:lvl w:ilvl="8">
      <w:start w:val="1"/>
      <w:numFmt w:val="bullet"/>
      <w:lvlText w:val=""/>
      <w:lvlJc w:val="left"/>
      <w:pPr>
        <w:tabs>
          <w:tab w:val="num" w:pos="5110"/>
        </w:tabs>
        <w:ind w:left="3691" w:hanging="283"/>
      </w:pPr>
      <w:rPr>
        <w:rFonts w:ascii="Wingdings" w:hAnsi="Wingdings" w:hint="default"/>
      </w:rPr>
    </w:lvl>
  </w:abstractNum>
  <w:abstractNum w:abstractNumId="5" w15:restartNumberingAfterBreak="0">
    <w:nsid w:val="21711E67"/>
    <w:multiLevelType w:val="multilevel"/>
    <w:tmpl w:val="E29056C2"/>
    <w:styleLink w:val="Listaactual1"/>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2B02B9"/>
    <w:multiLevelType w:val="multilevel"/>
    <w:tmpl w:val="275C4168"/>
    <w:styleLink w:val="Numerationi"/>
    <w:lvl w:ilvl="0">
      <w:start w:val="1"/>
      <w:numFmt w:val="decimal"/>
      <w:pStyle w:val="ii-xNUM"/>
      <w:lvlText w:val="%1"/>
      <w:lvlJc w:val="left"/>
      <w:pPr>
        <w:tabs>
          <w:tab w:val="num" w:pos="567"/>
        </w:tabs>
        <w:ind w:left="567" w:hanging="340"/>
      </w:pPr>
      <w:rPr>
        <w:rFonts w:ascii="Arial" w:hAnsi="Arial" w:hint="default"/>
        <w:sz w:val="20"/>
      </w:rPr>
    </w:lvl>
    <w:lvl w:ilvl="1">
      <w:start w:val="1"/>
      <w:numFmt w:val="decimal"/>
      <w:pStyle w:val="ii-xNUM2"/>
      <w:lvlText w:val="%2"/>
      <w:lvlJc w:val="left"/>
      <w:pPr>
        <w:tabs>
          <w:tab w:val="num" w:pos="992"/>
        </w:tabs>
        <w:ind w:left="992" w:hanging="340"/>
      </w:pPr>
      <w:rPr>
        <w:rFonts w:hint="default"/>
      </w:rPr>
    </w:lvl>
    <w:lvl w:ilvl="2">
      <w:start w:val="1"/>
      <w:numFmt w:val="decimal"/>
      <w:lvlText w:val="%3"/>
      <w:lvlJc w:val="left"/>
      <w:pPr>
        <w:tabs>
          <w:tab w:val="num" w:pos="1417"/>
        </w:tabs>
        <w:ind w:left="1417" w:hanging="340"/>
      </w:pPr>
      <w:rPr>
        <w:rFonts w:hint="default"/>
      </w:rPr>
    </w:lvl>
    <w:lvl w:ilvl="3">
      <w:start w:val="1"/>
      <w:numFmt w:val="decimal"/>
      <w:lvlText w:val="%4"/>
      <w:lvlJc w:val="left"/>
      <w:pPr>
        <w:tabs>
          <w:tab w:val="num" w:pos="1842"/>
        </w:tabs>
        <w:ind w:left="1842" w:hanging="340"/>
      </w:pPr>
      <w:rPr>
        <w:rFonts w:hint="default"/>
      </w:rPr>
    </w:lvl>
    <w:lvl w:ilvl="4">
      <w:start w:val="1"/>
      <w:numFmt w:val="bullet"/>
      <w:lvlText w:val="o"/>
      <w:lvlJc w:val="left"/>
      <w:pPr>
        <w:tabs>
          <w:tab w:val="num" w:pos="2267"/>
        </w:tabs>
        <w:ind w:left="2267" w:hanging="340"/>
      </w:pPr>
      <w:rPr>
        <w:rFonts w:ascii="Courier New" w:hAnsi="Courier New" w:cs="Courier New" w:hint="default"/>
      </w:rPr>
    </w:lvl>
    <w:lvl w:ilvl="5">
      <w:start w:val="1"/>
      <w:numFmt w:val="bullet"/>
      <w:lvlText w:val=""/>
      <w:lvlJc w:val="left"/>
      <w:pPr>
        <w:tabs>
          <w:tab w:val="num" w:pos="2692"/>
        </w:tabs>
        <w:ind w:left="2692" w:hanging="340"/>
      </w:pPr>
      <w:rPr>
        <w:rFonts w:ascii="Wingdings" w:hAnsi="Wingdings" w:hint="default"/>
      </w:rPr>
    </w:lvl>
    <w:lvl w:ilvl="6">
      <w:start w:val="1"/>
      <w:numFmt w:val="bullet"/>
      <w:lvlText w:val=""/>
      <w:lvlJc w:val="left"/>
      <w:pPr>
        <w:tabs>
          <w:tab w:val="num" w:pos="3117"/>
        </w:tabs>
        <w:ind w:left="3117" w:hanging="340"/>
      </w:pPr>
      <w:rPr>
        <w:rFonts w:ascii="Symbol" w:hAnsi="Symbol" w:hint="default"/>
      </w:rPr>
    </w:lvl>
    <w:lvl w:ilvl="7">
      <w:start w:val="1"/>
      <w:numFmt w:val="bullet"/>
      <w:lvlText w:val="o"/>
      <w:lvlJc w:val="left"/>
      <w:pPr>
        <w:tabs>
          <w:tab w:val="num" w:pos="3542"/>
        </w:tabs>
        <w:ind w:left="3542" w:hanging="340"/>
      </w:pPr>
      <w:rPr>
        <w:rFonts w:ascii="Courier New" w:hAnsi="Courier New" w:cs="Courier New" w:hint="default"/>
      </w:rPr>
    </w:lvl>
    <w:lvl w:ilvl="8">
      <w:start w:val="1"/>
      <w:numFmt w:val="bullet"/>
      <w:lvlText w:val=""/>
      <w:lvlJc w:val="left"/>
      <w:pPr>
        <w:tabs>
          <w:tab w:val="num" w:pos="3967"/>
        </w:tabs>
        <w:ind w:left="3967" w:hanging="340"/>
      </w:pPr>
      <w:rPr>
        <w:rFonts w:ascii="Wingdings" w:hAnsi="Wingdings" w:hint="default"/>
      </w:rPr>
    </w:lvl>
  </w:abstractNum>
  <w:abstractNum w:abstractNumId="7" w15:restartNumberingAfterBreak="0">
    <w:nsid w:val="28370DB7"/>
    <w:multiLevelType w:val="multilevel"/>
    <w:tmpl w:val="937EEEB2"/>
    <w:styleLink w:val="IATEDSections"/>
    <w:lvl w:ilvl="0">
      <w:start w:val="1"/>
      <w:numFmt w:val="decimal"/>
      <w:lvlText w:val="%1"/>
      <w:lvlJc w:val="left"/>
      <w:pPr>
        <w:tabs>
          <w:tab w:val="num" w:pos="425"/>
        </w:tabs>
        <w:ind w:left="425" w:hanging="425"/>
      </w:pPr>
      <w:rPr>
        <w:rFonts w:ascii="Arial" w:hAnsi="Arial" w:hint="default"/>
        <w:b/>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709" w:hanging="709"/>
      </w:pPr>
      <w:rPr>
        <w:rFonts w:ascii="Arial" w:hAnsi="Arial" w:hint="default"/>
        <w:b w:val="0"/>
        <w:i/>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pacing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9FC6018"/>
    <w:multiLevelType w:val="multilevel"/>
    <w:tmpl w:val="275C4168"/>
    <w:numStyleLink w:val="Numerationi"/>
  </w:abstractNum>
  <w:abstractNum w:abstractNumId="9" w15:restartNumberingAfterBreak="0">
    <w:nsid w:val="305A3A1D"/>
    <w:multiLevelType w:val="hybridMultilevel"/>
    <w:tmpl w:val="30FC8516"/>
    <w:lvl w:ilvl="0" w:tplc="B19072C2">
      <w:start w:val="1"/>
      <w:numFmt w:val="decimal"/>
      <w:pStyle w:val="IATED-References"/>
      <w:lvlText w:val="[%1]"/>
      <w:lvlJc w:val="left"/>
      <w:pPr>
        <w:ind w:left="567" w:hanging="56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11F3A83"/>
    <w:multiLevelType w:val="hybridMultilevel"/>
    <w:tmpl w:val="301C1724"/>
    <w:lvl w:ilvl="0" w:tplc="033C9672">
      <w:start w:val="1"/>
      <w:numFmt w:val="bullet"/>
      <w:pStyle w:val="ii-viny--"/>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E91B76"/>
    <w:multiLevelType w:val="multilevel"/>
    <w:tmpl w:val="CC16E42C"/>
    <w:name w:val="II_AAA3"/>
    <w:lvl w:ilvl="0">
      <w:start w:val="1"/>
      <w:numFmt w:val="upperLetter"/>
      <w:pStyle w:val="ListNumber"/>
      <w:lvlText w:val="%1."/>
      <w:lvlJc w:val="left"/>
      <w:pPr>
        <w:tabs>
          <w:tab w:val="num" w:pos="284"/>
        </w:tabs>
        <w:ind w:left="284" w:hanging="284"/>
      </w:pPr>
      <w:rPr>
        <w:rFonts w:ascii="Arial" w:hAnsi="Arial" w:hint="default"/>
        <w:b w:val="0"/>
        <w:i/>
        <w:caps/>
        <w:strike w:val="0"/>
        <w:dstrike w:val="0"/>
        <w:vanish w:val="0"/>
        <w:sz w:val="21"/>
        <w:vertAlign w:val="baseline"/>
      </w:rPr>
    </w:lvl>
    <w:lvl w:ilvl="1">
      <w:start w:val="1"/>
      <w:numFmt w:val="lowerLetter"/>
      <w:pStyle w:val="ii-a"/>
      <w:lvlText w:val="%2)"/>
      <w:lvlJc w:val="left"/>
      <w:pPr>
        <w:tabs>
          <w:tab w:val="num" w:pos="568"/>
        </w:tabs>
        <w:ind w:left="568" w:hanging="284"/>
      </w:pPr>
      <w:rPr>
        <w:rFonts w:hint="default"/>
      </w:rPr>
    </w:lvl>
    <w:lvl w:ilvl="2">
      <w:start w:val="1"/>
      <w:numFmt w:val="lowerLetter"/>
      <w:pStyle w:val="ii-a0"/>
      <w:lvlText w:val="%3."/>
      <w:lvlJc w:val="left"/>
      <w:pPr>
        <w:tabs>
          <w:tab w:val="num" w:pos="852"/>
        </w:tabs>
        <w:ind w:left="852" w:hanging="284"/>
      </w:pPr>
      <w:rPr>
        <w:rFonts w:hint="default"/>
      </w:rPr>
    </w:lvl>
    <w:lvl w:ilvl="3">
      <w:start w:val="1"/>
      <w:numFmt w:val="lowerLetter"/>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2" w15:restartNumberingAfterBreak="0">
    <w:nsid w:val="4FB056EF"/>
    <w:multiLevelType w:val="multilevel"/>
    <w:tmpl w:val="C4A8D430"/>
    <w:lvl w:ilvl="0">
      <w:start w:val="1"/>
      <w:numFmt w:val="decimal"/>
      <w:pStyle w:val="ii-tabnum"/>
      <w:lvlText w:val="%1"/>
      <w:lvlJc w:val="left"/>
      <w:pPr>
        <w:ind w:left="284" w:hanging="227"/>
      </w:pPr>
      <w:rPr>
        <w:rFonts w:hint="default"/>
      </w:rPr>
    </w:lvl>
    <w:lvl w:ilvl="1">
      <w:start w:val="1"/>
      <w:numFmt w:val="bullet"/>
      <w:pStyle w:val="ii-tabviny-O"/>
      <w:lvlText w:val=""/>
      <w:lvlJc w:val="left"/>
      <w:pPr>
        <w:ind w:left="284" w:hanging="227"/>
      </w:pPr>
      <w:rPr>
        <w:rFonts w:ascii="Symbol" w:hAnsi="Symbol" w:hint="default"/>
      </w:rPr>
    </w:lvl>
    <w:lvl w:ilvl="2">
      <w:start w:val="1"/>
      <w:numFmt w:val="bullet"/>
      <w:pStyle w:val="ii-tabviny--"/>
      <w:lvlText w:val=""/>
      <w:lvlJc w:val="left"/>
      <w:pPr>
        <w:ind w:left="284" w:hanging="227"/>
      </w:pPr>
      <w:rPr>
        <w:rFonts w:ascii="Symbol" w:hAnsi="Symbol"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3" w15:restartNumberingAfterBreak="0">
    <w:nsid w:val="52972A48"/>
    <w:multiLevelType w:val="multilevel"/>
    <w:tmpl w:val="D81673E2"/>
    <w:styleLink w:val="ii-AAA"/>
    <w:lvl w:ilvl="0">
      <w:start w:val="1"/>
      <w:numFmt w:val="upperLetter"/>
      <w:lvlText w:val="%1."/>
      <w:lvlJc w:val="left"/>
      <w:pPr>
        <w:tabs>
          <w:tab w:val="num" w:pos="284"/>
        </w:tabs>
        <w:ind w:left="284" w:hanging="284"/>
      </w:pPr>
      <w:rPr>
        <w:rFonts w:ascii="Arial" w:hAnsi="Arial" w:hint="default"/>
        <w:b w:val="0"/>
        <w:i/>
        <w:caps/>
        <w:strike w:val="0"/>
        <w:dstrike w:val="0"/>
        <w:vanish w:val="0"/>
        <w:sz w:val="21"/>
        <w:vertAlign w:val="baseline"/>
      </w:rPr>
    </w:lvl>
    <w:lvl w:ilvl="1">
      <w:start w:val="1"/>
      <w:numFmt w:val="lowerLetter"/>
      <w:lvlText w:val="%2)"/>
      <w:lvlJc w:val="left"/>
      <w:pPr>
        <w:tabs>
          <w:tab w:val="num" w:pos="568"/>
        </w:tabs>
        <w:ind w:left="568" w:hanging="284"/>
      </w:pPr>
      <w:rPr>
        <w:rFonts w:hint="default"/>
      </w:rPr>
    </w:lvl>
    <w:lvl w:ilvl="2">
      <w:start w:val="1"/>
      <w:numFmt w:val="lowerLetter"/>
      <w:lvlText w:val="%3."/>
      <w:lvlJc w:val="left"/>
      <w:pPr>
        <w:tabs>
          <w:tab w:val="num" w:pos="852"/>
        </w:tabs>
        <w:ind w:left="852" w:hanging="284"/>
      </w:pPr>
      <w:rPr>
        <w:rFonts w:hint="default"/>
      </w:rPr>
    </w:lvl>
    <w:lvl w:ilvl="3">
      <w:start w:val="1"/>
      <w:numFmt w:val="lowerLetter"/>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4" w15:restartNumberingAfterBreak="0">
    <w:nsid w:val="64F55206"/>
    <w:multiLevelType w:val="hybridMultilevel"/>
    <w:tmpl w:val="F87434F8"/>
    <w:lvl w:ilvl="0" w:tplc="65FE5AC8">
      <w:start w:val="1"/>
      <w:numFmt w:val="bullet"/>
      <w:pStyle w:val="Lis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23C3981"/>
    <w:multiLevelType w:val="hybridMultilevel"/>
    <w:tmpl w:val="9B2C75D4"/>
    <w:lvl w:ilvl="0" w:tplc="1706C79C">
      <w:start w:val="3"/>
      <w:numFmt w:val="bullet"/>
      <w:pStyle w:val="ListParagraph"/>
      <w:lvlText w:val="-"/>
      <w:lvlJc w:val="left"/>
      <w:pPr>
        <w:ind w:left="1440" w:hanging="360"/>
      </w:pPr>
      <w:rPr>
        <w:rFonts w:ascii="Arial" w:eastAsia="Times New Roman" w:hAnsi="Aria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16cid:durableId="1659266799">
    <w:abstractNumId w:val="9"/>
  </w:num>
  <w:num w:numId="2" w16cid:durableId="159085927">
    <w:abstractNumId w:val="0"/>
  </w:num>
  <w:num w:numId="3" w16cid:durableId="1305350214">
    <w:abstractNumId w:val="5"/>
  </w:num>
  <w:num w:numId="4" w16cid:durableId="517545697">
    <w:abstractNumId w:val="14"/>
  </w:num>
  <w:num w:numId="5" w16cid:durableId="714279319">
    <w:abstractNumId w:val="15"/>
  </w:num>
  <w:num w:numId="6" w16cid:durableId="1766999823">
    <w:abstractNumId w:val="10"/>
  </w:num>
  <w:num w:numId="7" w16cid:durableId="1073314212">
    <w:abstractNumId w:val="1"/>
  </w:num>
  <w:num w:numId="8" w16cid:durableId="1595164207">
    <w:abstractNumId w:val="6"/>
  </w:num>
  <w:num w:numId="9" w16cid:durableId="232282447">
    <w:abstractNumId w:val="4"/>
  </w:num>
  <w:num w:numId="10" w16cid:durableId="1101219691">
    <w:abstractNumId w:val="7"/>
  </w:num>
  <w:num w:numId="11" w16cid:durableId="1789010525">
    <w:abstractNumId w:val="2"/>
  </w:num>
  <w:num w:numId="12" w16cid:durableId="301810396">
    <w:abstractNumId w:val="3"/>
  </w:num>
  <w:num w:numId="13" w16cid:durableId="1009142456">
    <w:abstractNumId w:val="13"/>
  </w:num>
  <w:num w:numId="14" w16cid:durableId="898904694">
    <w:abstractNumId w:val="12"/>
  </w:num>
  <w:num w:numId="15" w16cid:durableId="1504587051">
    <w:abstractNumId w:val="8"/>
  </w:num>
  <w:num w:numId="16" w16cid:durableId="106360525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BC"/>
    <w:rsid w:val="00002AC4"/>
    <w:rsid w:val="00015A75"/>
    <w:rsid w:val="00016620"/>
    <w:rsid w:val="00020270"/>
    <w:rsid w:val="0002298C"/>
    <w:rsid w:val="000329E1"/>
    <w:rsid w:val="00042F07"/>
    <w:rsid w:val="00052133"/>
    <w:rsid w:val="00054F11"/>
    <w:rsid w:val="00057A6E"/>
    <w:rsid w:val="0008072C"/>
    <w:rsid w:val="0008410D"/>
    <w:rsid w:val="000A4661"/>
    <w:rsid w:val="000A529A"/>
    <w:rsid w:val="000A7AE6"/>
    <w:rsid w:val="000C2339"/>
    <w:rsid w:val="000D53D0"/>
    <w:rsid w:val="00117BB0"/>
    <w:rsid w:val="001263B7"/>
    <w:rsid w:val="00133C88"/>
    <w:rsid w:val="001819EB"/>
    <w:rsid w:val="0018436A"/>
    <w:rsid w:val="001C50E1"/>
    <w:rsid w:val="001F2ABD"/>
    <w:rsid w:val="00247009"/>
    <w:rsid w:val="00266875"/>
    <w:rsid w:val="002935BB"/>
    <w:rsid w:val="002947E6"/>
    <w:rsid w:val="002A6DF2"/>
    <w:rsid w:val="002E2B28"/>
    <w:rsid w:val="002E7FC7"/>
    <w:rsid w:val="002F027F"/>
    <w:rsid w:val="002F5A38"/>
    <w:rsid w:val="0030493C"/>
    <w:rsid w:val="0033173B"/>
    <w:rsid w:val="00332D19"/>
    <w:rsid w:val="00343510"/>
    <w:rsid w:val="003503C4"/>
    <w:rsid w:val="003504C2"/>
    <w:rsid w:val="003579ED"/>
    <w:rsid w:val="00397D62"/>
    <w:rsid w:val="003A2B5A"/>
    <w:rsid w:val="003A6EFB"/>
    <w:rsid w:val="003B2AC2"/>
    <w:rsid w:val="0040014B"/>
    <w:rsid w:val="0040201F"/>
    <w:rsid w:val="004165D5"/>
    <w:rsid w:val="00421047"/>
    <w:rsid w:val="00424E78"/>
    <w:rsid w:val="00443FF0"/>
    <w:rsid w:val="004661D4"/>
    <w:rsid w:val="0048574F"/>
    <w:rsid w:val="004910CF"/>
    <w:rsid w:val="004D3018"/>
    <w:rsid w:val="004D5C63"/>
    <w:rsid w:val="004F18CD"/>
    <w:rsid w:val="00513615"/>
    <w:rsid w:val="0053044E"/>
    <w:rsid w:val="0053152A"/>
    <w:rsid w:val="00537F75"/>
    <w:rsid w:val="00543717"/>
    <w:rsid w:val="00560182"/>
    <w:rsid w:val="0057627C"/>
    <w:rsid w:val="00596A51"/>
    <w:rsid w:val="005B0D2D"/>
    <w:rsid w:val="005B4EA1"/>
    <w:rsid w:val="005E1742"/>
    <w:rsid w:val="006009A2"/>
    <w:rsid w:val="00605245"/>
    <w:rsid w:val="00613E55"/>
    <w:rsid w:val="00660D62"/>
    <w:rsid w:val="006A0029"/>
    <w:rsid w:val="006F1BE2"/>
    <w:rsid w:val="00790494"/>
    <w:rsid w:val="00797815"/>
    <w:rsid w:val="007B2894"/>
    <w:rsid w:val="007C7037"/>
    <w:rsid w:val="007F1A3A"/>
    <w:rsid w:val="008018BC"/>
    <w:rsid w:val="00822316"/>
    <w:rsid w:val="00823210"/>
    <w:rsid w:val="00842A79"/>
    <w:rsid w:val="00844D3A"/>
    <w:rsid w:val="00877C19"/>
    <w:rsid w:val="00880C20"/>
    <w:rsid w:val="008917D6"/>
    <w:rsid w:val="00896823"/>
    <w:rsid w:val="008D1735"/>
    <w:rsid w:val="008E46BC"/>
    <w:rsid w:val="008F4417"/>
    <w:rsid w:val="00900B75"/>
    <w:rsid w:val="009572FC"/>
    <w:rsid w:val="00960DF7"/>
    <w:rsid w:val="0097041C"/>
    <w:rsid w:val="00996036"/>
    <w:rsid w:val="009B6C03"/>
    <w:rsid w:val="009C17C2"/>
    <w:rsid w:val="00A37D07"/>
    <w:rsid w:val="00A41430"/>
    <w:rsid w:val="00A54F75"/>
    <w:rsid w:val="00A660B0"/>
    <w:rsid w:val="00A96FFD"/>
    <w:rsid w:val="00B31EDF"/>
    <w:rsid w:val="00B4636C"/>
    <w:rsid w:val="00B55A17"/>
    <w:rsid w:val="00B62A54"/>
    <w:rsid w:val="00B84FF1"/>
    <w:rsid w:val="00BB3008"/>
    <w:rsid w:val="00BB4E02"/>
    <w:rsid w:val="00BB5DEB"/>
    <w:rsid w:val="00BD3F8D"/>
    <w:rsid w:val="00BF161B"/>
    <w:rsid w:val="00BF39FE"/>
    <w:rsid w:val="00C166BC"/>
    <w:rsid w:val="00C25378"/>
    <w:rsid w:val="00C269F9"/>
    <w:rsid w:val="00C363AC"/>
    <w:rsid w:val="00C55EC5"/>
    <w:rsid w:val="00C66FCB"/>
    <w:rsid w:val="00C67A3C"/>
    <w:rsid w:val="00C96321"/>
    <w:rsid w:val="00CA799E"/>
    <w:rsid w:val="00CB4A94"/>
    <w:rsid w:val="00CC2449"/>
    <w:rsid w:val="00D02723"/>
    <w:rsid w:val="00D2351C"/>
    <w:rsid w:val="00D331A1"/>
    <w:rsid w:val="00D57BC9"/>
    <w:rsid w:val="00D716D6"/>
    <w:rsid w:val="00D759D3"/>
    <w:rsid w:val="00D76600"/>
    <w:rsid w:val="00D90864"/>
    <w:rsid w:val="00D941E5"/>
    <w:rsid w:val="00DC71A0"/>
    <w:rsid w:val="00DD2FC9"/>
    <w:rsid w:val="00DD5D5B"/>
    <w:rsid w:val="00DE3787"/>
    <w:rsid w:val="00DF1746"/>
    <w:rsid w:val="00DF7607"/>
    <w:rsid w:val="00E407E1"/>
    <w:rsid w:val="00E534FE"/>
    <w:rsid w:val="00E637AC"/>
    <w:rsid w:val="00E854C6"/>
    <w:rsid w:val="00EA3A2C"/>
    <w:rsid w:val="00EA65F2"/>
    <w:rsid w:val="00F14888"/>
    <w:rsid w:val="00F64142"/>
    <w:rsid w:val="00F64BED"/>
    <w:rsid w:val="00F94539"/>
    <w:rsid w:val="00F9497B"/>
    <w:rsid w:val="00FA4736"/>
    <w:rsid w:val="00FC5AE7"/>
    <w:rsid w:val="00FC6C44"/>
    <w:rsid w:val="00FD0F31"/>
    <w:rsid w:val="00FD3B00"/>
    <w:rsid w:val="00FE65D1"/>
    <w:rsid w:val="00FF6457"/>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28B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ATED-Text"/>
    <w:qFormat/>
    <w:rsid w:val="005E1742"/>
    <w:pPr>
      <w:spacing w:before="120" w:after="120"/>
      <w:jc w:val="both"/>
    </w:pPr>
    <w:rPr>
      <w:rFonts w:ascii="Arial" w:hAnsi="Arial"/>
      <w:szCs w:val="24"/>
    </w:rPr>
  </w:style>
  <w:style w:type="paragraph" w:styleId="Heading1">
    <w:name w:val="heading 1"/>
    <w:aliases w:val="IATED-Section"/>
    <w:next w:val="Normal"/>
    <w:link w:val="Heading1Char"/>
    <w:qFormat/>
    <w:rsid w:val="005E1742"/>
    <w:pPr>
      <w:keepNext/>
      <w:numPr>
        <w:numId w:val="2"/>
      </w:numPr>
      <w:spacing w:before="360" w:after="60"/>
      <w:outlineLvl w:val="0"/>
    </w:pPr>
    <w:rPr>
      <w:rFonts w:ascii="Arial" w:hAnsi="Arial"/>
      <w:b/>
      <w:bCs/>
      <w:caps/>
      <w:kern w:val="32"/>
      <w:sz w:val="24"/>
      <w:szCs w:val="32"/>
    </w:rPr>
  </w:style>
  <w:style w:type="paragraph" w:styleId="Heading2">
    <w:name w:val="heading 2"/>
    <w:aliases w:val="IATED-Subsection"/>
    <w:next w:val="Normal"/>
    <w:link w:val="Heading2Char"/>
    <w:qFormat/>
    <w:rsid w:val="005E1742"/>
    <w:pPr>
      <w:keepNext/>
      <w:numPr>
        <w:ilvl w:val="1"/>
        <w:numId w:val="2"/>
      </w:numPr>
      <w:spacing w:before="240" w:after="60"/>
      <w:outlineLvl w:val="1"/>
    </w:pPr>
    <w:rPr>
      <w:rFonts w:ascii="Arial" w:hAnsi="Arial"/>
      <w:b/>
      <w:bCs/>
      <w:iCs/>
      <w:sz w:val="24"/>
      <w:szCs w:val="28"/>
    </w:rPr>
  </w:style>
  <w:style w:type="paragraph" w:styleId="Heading3">
    <w:name w:val="heading 3"/>
    <w:aliases w:val="IATED-Subsubsection"/>
    <w:basedOn w:val="Normal"/>
    <w:next w:val="Normal"/>
    <w:link w:val="Heading3Char"/>
    <w:qFormat/>
    <w:rsid w:val="005E1742"/>
    <w:pPr>
      <w:keepNext/>
      <w:numPr>
        <w:ilvl w:val="2"/>
        <w:numId w:val="2"/>
      </w:numPr>
      <w:spacing w:before="180" w:after="60"/>
      <w:outlineLvl w:val="2"/>
    </w:pPr>
    <w:rPr>
      <w:bCs/>
      <w:i/>
      <w:sz w:val="22"/>
      <w:szCs w:val="26"/>
    </w:rPr>
  </w:style>
  <w:style w:type="paragraph" w:styleId="Heading4">
    <w:name w:val="heading 4"/>
    <w:basedOn w:val="Normal"/>
    <w:next w:val="Normal"/>
    <w:link w:val="Heading4Char"/>
    <w:qFormat/>
    <w:rsid w:val="00E534FE"/>
    <w:pPr>
      <w:keepNext/>
      <w:numPr>
        <w:ilvl w:val="3"/>
        <w:numId w:val="2"/>
      </w:numPr>
      <w:spacing w:before="240" w:after="60"/>
      <w:outlineLvl w:val="3"/>
    </w:pPr>
    <w:rPr>
      <w:bCs/>
      <w:i/>
      <w:szCs w:val="28"/>
    </w:rPr>
  </w:style>
  <w:style w:type="paragraph" w:styleId="Heading5">
    <w:name w:val="heading 5"/>
    <w:basedOn w:val="Normal"/>
    <w:next w:val="Normal"/>
    <w:link w:val="Heading5Char"/>
    <w:qFormat/>
    <w:rsid w:val="00996EF6"/>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996EF6"/>
    <w:pPr>
      <w:numPr>
        <w:ilvl w:val="5"/>
        <w:numId w:val="2"/>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996EF6"/>
    <w:pPr>
      <w:numPr>
        <w:ilvl w:val="6"/>
        <w:numId w:val="2"/>
      </w:numPr>
      <w:spacing w:before="240" w:after="60"/>
      <w:outlineLvl w:val="6"/>
    </w:pPr>
    <w:rPr>
      <w:rFonts w:ascii="Cambria" w:hAnsi="Cambria"/>
    </w:rPr>
  </w:style>
  <w:style w:type="paragraph" w:styleId="Heading8">
    <w:name w:val="heading 8"/>
    <w:basedOn w:val="Normal"/>
    <w:next w:val="Normal"/>
    <w:link w:val="Heading8Char"/>
    <w:qFormat/>
    <w:rsid w:val="00996EF6"/>
    <w:pPr>
      <w:numPr>
        <w:ilvl w:val="7"/>
        <w:numId w:val="2"/>
      </w:numPr>
      <w:spacing w:before="240" w:after="60"/>
      <w:outlineLvl w:val="7"/>
    </w:pPr>
    <w:rPr>
      <w:rFonts w:ascii="Cambria" w:hAnsi="Cambria"/>
      <w:i/>
      <w:iCs/>
    </w:rPr>
  </w:style>
  <w:style w:type="paragraph" w:styleId="Heading9">
    <w:name w:val="heading 9"/>
    <w:basedOn w:val="Normal"/>
    <w:next w:val="Normal"/>
    <w:link w:val="Heading9Char"/>
    <w:qFormat/>
    <w:rsid w:val="00996EF6"/>
    <w:pPr>
      <w:numPr>
        <w:ilvl w:val="8"/>
        <w:numId w:val="2"/>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ATED-AbstractSection"/>
    <w:basedOn w:val="Normal"/>
    <w:qFormat/>
    <w:rsid w:val="00D57BC9"/>
    <w:pPr>
      <w:spacing w:before="480"/>
      <w:jc w:val="center"/>
    </w:pPr>
    <w:rPr>
      <w:b/>
      <w:bCs/>
      <w:sz w:val="24"/>
    </w:rPr>
  </w:style>
  <w:style w:type="paragraph" w:customStyle="1" w:styleId="IATED-PaperTitle">
    <w:name w:val="IATED-Paper Title"/>
    <w:next w:val="IATED-Authors"/>
    <w:qFormat/>
    <w:rsid w:val="002E2B28"/>
    <w:pPr>
      <w:spacing w:after="240"/>
      <w:jc w:val="center"/>
    </w:pPr>
    <w:rPr>
      <w:rFonts w:ascii="Arial" w:hAnsi="Arial" w:cs="Arial"/>
      <w:b/>
      <w:bCs/>
      <w:caps/>
      <w:sz w:val="28"/>
      <w:szCs w:val="24"/>
    </w:rPr>
  </w:style>
  <w:style w:type="paragraph" w:customStyle="1" w:styleId="IATED-Authors">
    <w:name w:val="IATED-Authors"/>
    <w:basedOn w:val="Normal"/>
    <w:next w:val="IATED-Affiliation"/>
    <w:autoRedefine/>
    <w:qFormat/>
    <w:rsid w:val="0053044E"/>
    <w:pPr>
      <w:spacing w:before="0"/>
      <w:jc w:val="center"/>
    </w:pPr>
    <w:rPr>
      <w:rFonts w:cs="Arial"/>
      <w:b/>
      <w:bCs/>
      <w:sz w:val="24"/>
    </w:rPr>
  </w:style>
  <w:style w:type="paragraph" w:customStyle="1" w:styleId="IATED-Affiliation">
    <w:name w:val="IATED-Affiliation"/>
    <w:basedOn w:val="Normal"/>
    <w:qFormat/>
    <w:rsid w:val="000D53D0"/>
    <w:pPr>
      <w:spacing w:before="0" w:after="0"/>
      <w:jc w:val="center"/>
    </w:pPr>
    <w:rPr>
      <w:rFonts w:cs="Arial"/>
      <w:i/>
      <w:sz w:val="22"/>
    </w:rPr>
  </w:style>
  <w:style w:type="paragraph" w:styleId="FootnoteText">
    <w:name w:val="footnote text"/>
    <w:basedOn w:val="Normal"/>
    <w:link w:val="FootnoteTextChar"/>
    <w:rsid w:val="00896823"/>
    <w:pPr>
      <w:spacing w:before="0" w:after="60"/>
    </w:pPr>
    <w:rPr>
      <w:sz w:val="16"/>
    </w:rPr>
  </w:style>
  <w:style w:type="paragraph" w:customStyle="1" w:styleId="IATED-email">
    <w:name w:val="IATED-email"/>
    <w:qFormat/>
    <w:rsid w:val="005E1742"/>
    <w:pPr>
      <w:spacing w:after="480"/>
      <w:jc w:val="center"/>
    </w:pPr>
    <w:rPr>
      <w:rFonts w:ascii="Arial" w:hAnsi="Arial" w:cs="Arial"/>
      <w:i/>
      <w:iCs/>
      <w:sz w:val="22"/>
      <w:szCs w:val="24"/>
    </w:rPr>
  </w:style>
  <w:style w:type="paragraph" w:customStyle="1" w:styleId="IATED-References">
    <w:name w:val="IATED-References"/>
    <w:basedOn w:val="Normal"/>
    <w:autoRedefine/>
    <w:qFormat/>
    <w:rsid w:val="00424E78"/>
    <w:pPr>
      <w:numPr>
        <w:numId w:val="1"/>
      </w:numPr>
      <w:tabs>
        <w:tab w:val="left" w:pos="567"/>
      </w:tabs>
      <w:jc w:val="left"/>
    </w:pPr>
    <w:rPr>
      <w:rFonts w:cs="Arial"/>
      <w:bCs/>
    </w:rPr>
  </w:style>
  <w:style w:type="character" w:customStyle="1" w:styleId="FootnoteTextChar">
    <w:name w:val="Footnote Text Char"/>
    <w:link w:val="FootnoteText"/>
    <w:rsid w:val="00896823"/>
    <w:rPr>
      <w:rFonts w:ascii="Arial" w:hAnsi="Arial"/>
      <w:sz w:val="16"/>
      <w:szCs w:val="24"/>
      <w:lang w:val="en-US"/>
    </w:rPr>
  </w:style>
  <w:style w:type="character" w:customStyle="1" w:styleId="Heading2Char">
    <w:name w:val="Heading 2 Char"/>
    <w:aliases w:val="IATED-Subsection Char"/>
    <w:link w:val="Heading2"/>
    <w:rsid w:val="005E1742"/>
    <w:rPr>
      <w:rFonts w:ascii="Arial" w:hAnsi="Arial"/>
      <w:b/>
      <w:bCs/>
      <w:iCs/>
      <w:sz w:val="24"/>
      <w:szCs w:val="28"/>
    </w:rPr>
  </w:style>
  <w:style w:type="character" w:customStyle="1" w:styleId="Heading3Char">
    <w:name w:val="Heading 3 Char"/>
    <w:aliases w:val="IATED-Subsubsection Char"/>
    <w:link w:val="Heading3"/>
    <w:rsid w:val="005E1742"/>
    <w:rPr>
      <w:rFonts w:ascii="Arial" w:hAnsi="Arial"/>
      <w:bCs/>
      <w:i/>
      <w:sz w:val="22"/>
      <w:szCs w:val="26"/>
    </w:rPr>
  </w:style>
  <w:style w:type="character" w:customStyle="1" w:styleId="Heading4Char">
    <w:name w:val="Heading 4 Char"/>
    <w:link w:val="Heading4"/>
    <w:rsid w:val="00E534FE"/>
    <w:rPr>
      <w:rFonts w:ascii="Arial" w:hAnsi="Arial"/>
      <w:bCs/>
      <w:i/>
      <w:szCs w:val="28"/>
    </w:rPr>
  </w:style>
  <w:style w:type="character" w:customStyle="1" w:styleId="Heading5Char">
    <w:name w:val="Heading 5 Char"/>
    <w:link w:val="Heading5"/>
    <w:rsid w:val="00996EF6"/>
    <w:rPr>
      <w:rFonts w:ascii="Cambria" w:hAnsi="Cambria"/>
      <w:b/>
      <w:bCs/>
      <w:i/>
      <w:iCs/>
      <w:sz w:val="26"/>
      <w:szCs w:val="26"/>
    </w:rPr>
  </w:style>
  <w:style w:type="character" w:customStyle="1" w:styleId="Heading6Char">
    <w:name w:val="Heading 6 Char"/>
    <w:link w:val="Heading6"/>
    <w:rsid w:val="00996EF6"/>
    <w:rPr>
      <w:rFonts w:ascii="Cambria" w:hAnsi="Cambria"/>
      <w:b/>
      <w:bCs/>
      <w:sz w:val="22"/>
      <w:szCs w:val="22"/>
    </w:rPr>
  </w:style>
  <w:style w:type="character" w:customStyle="1" w:styleId="Heading7Char">
    <w:name w:val="Heading 7 Char"/>
    <w:link w:val="Heading7"/>
    <w:rsid w:val="00996EF6"/>
    <w:rPr>
      <w:rFonts w:ascii="Cambria" w:hAnsi="Cambria"/>
      <w:szCs w:val="24"/>
    </w:rPr>
  </w:style>
  <w:style w:type="character" w:customStyle="1" w:styleId="Heading8Char">
    <w:name w:val="Heading 8 Char"/>
    <w:link w:val="Heading8"/>
    <w:rsid w:val="00996EF6"/>
    <w:rPr>
      <w:rFonts w:ascii="Cambria" w:hAnsi="Cambria"/>
      <w:i/>
      <w:iCs/>
      <w:szCs w:val="24"/>
    </w:rPr>
  </w:style>
  <w:style w:type="character" w:customStyle="1" w:styleId="Heading9Char">
    <w:name w:val="Heading 9 Char"/>
    <w:link w:val="Heading9"/>
    <w:rsid w:val="00996EF6"/>
    <w:rPr>
      <w:rFonts w:ascii="Calibri" w:hAnsi="Calibri"/>
      <w:sz w:val="22"/>
      <w:szCs w:val="22"/>
    </w:rPr>
  </w:style>
  <w:style w:type="character" w:customStyle="1" w:styleId="Heading1Char">
    <w:name w:val="Heading 1 Char"/>
    <w:aliases w:val="IATED-Section Char"/>
    <w:link w:val="Heading1"/>
    <w:rsid w:val="005E1742"/>
    <w:rPr>
      <w:rFonts w:ascii="Arial" w:hAnsi="Arial"/>
      <w:b/>
      <w:bCs/>
      <w:caps/>
      <w:kern w:val="32"/>
      <w:sz w:val="24"/>
      <w:szCs w:val="32"/>
    </w:rPr>
  </w:style>
  <w:style w:type="table" w:customStyle="1" w:styleId="IATED-TableStyle">
    <w:name w:val="IATED-TableStyle"/>
    <w:basedOn w:val="TableNormal"/>
    <w:uiPriority w:val="99"/>
    <w:rsid w:val="0008072C"/>
    <w:pPr>
      <w:spacing w:before="80" w:after="40"/>
      <w:jc w:val="center"/>
    </w:pPr>
    <w:rPr>
      <w:rFonts w:ascii="Arial" w:hAnsi="Arial"/>
      <w:sz w:val="19"/>
    </w:rPr>
    <w:tblPr>
      <w:jc w:val="center"/>
      <w:tblBorders>
        <w:top w:val="double" w:sz="4" w:space="0" w:color="auto"/>
        <w:bottom w:val="double" w:sz="4" w:space="0" w:color="auto"/>
        <w:insideH w:val="single" w:sz="4" w:space="0" w:color="auto"/>
        <w:insideV w:val="single" w:sz="4" w:space="0" w:color="auto"/>
      </w:tblBorders>
    </w:tblPr>
    <w:trPr>
      <w:jc w:val="center"/>
    </w:trPr>
    <w:tblStylePr w:type="firstRow">
      <w:rPr>
        <w:rFonts w:ascii="Arial" w:hAnsi="Arial"/>
        <w:b/>
        <w:i/>
        <w:color w:val="46505A"/>
        <w:sz w:val="19"/>
      </w:rPr>
      <w:tblPr/>
      <w:tcPr>
        <w:tcBorders>
          <w:top w:val="double" w:sz="4" w:space="0" w:color="auto"/>
          <w:left w:val="nil"/>
          <w:bottom w:val="single" w:sz="4" w:space="0" w:color="auto"/>
          <w:right w:val="nil"/>
          <w:insideH w:val="nil"/>
          <w:insideV w:val="single" w:sz="4" w:space="0" w:color="auto"/>
          <w:tl2br w:val="nil"/>
          <w:tr2bl w:val="nil"/>
        </w:tcBorders>
      </w:tcPr>
    </w:tblStylePr>
    <w:tblStylePr w:type="firstCol">
      <w:pPr>
        <w:jc w:val="left"/>
      </w:pPr>
      <w:rPr>
        <w:rFonts w:ascii="Arial" w:hAnsi="Arial"/>
      </w:rPr>
    </w:tblStylePr>
  </w:style>
  <w:style w:type="character" w:styleId="FootnoteReference">
    <w:name w:val="footnote reference"/>
    <w:rsid w:val="00E534FE"/>
    <w:rPr>
      <w:rFonts w:ascii="Arial" w:hAnsi="Arial"/>
      <w:noProof w:val="0"/>
      <w:vertAlign w:val="superscript"/>
      <w:lang w:val="en-US"/>
    </w:rPr>
  </w:style>
  <w:style w:type="table" w:styleId="TableGrid">
    <w:name w:val="Table Grid"/>
    <w:basedOn w:val="TableNormal"/>
    <w:uiPriority w:val="59"/>
    <w:rsid w:val="00FD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
    <w:basedOn w:val="Normal"/>
    <w:next w:val="Normal"/>
    <w:uiPriority w:val="35"/>
    <w:qFormat/>
    <w:rsid w:val="00BB5DEB"/>
    <w:pPr>
      <w:jc w:val="center"/>
    </w:pPr>
    <w:rPr>
      <w:bCs/>
      <w:i/>
      <w:szCs w:val="20"/>
    </w:rPr>
  </w:style>
  <w:style w:type="paragraph" w:customStyle="1" w:styleId="IATED-CaptionTables">
    <w:name w:val="IATED-CaptionTables"/>
    <w:basedOn w:val="Normal"/>
    <w:next w:val="Normal"/>
    <w:qFormat/>
    <w:rsid w:val="002E2B28"/>
    <w:pPr>
      <w:keepNext/>
      <w:tabs>
        <w:tab w:val="left" w:pos="851"/>
      </w:tabs>
      <w:spacing w:before="300"/>
      <w:jc w:val="center"/>
    </w:pPr>
    <w:rPr>
      <w:i/>
      <w:color w:val="232D37"/>
      <w:sz w:val="19"/>
      <w:szCs w:val="19"/>
      <w:lang w:val="en-GB"/>
    </w:rPr>
  </w:style>
  <w:style w:type="paragraph" w:customStyle="1" w:styleId="IATED-CaptionFigures">
    <w:name w:val="IATED-CaptionFigures"/>
    <w:basedOn w:val="Normal"/>
    <w:next w:val="Normal"/>
    <w:qFormat/>
    <w:rsid w:val="002E2B28"/>
    <w:pPr>
      <w:tabs>
        <w:tab w:val="center" w:pos="2268"/>
        <w:tab w:val="center" w:pos="6804"/>
      </w:tabs>
      <w:spacing w:before="60" w:after="280"/>
      <w:jc w:val="center"/>
    </w:pPr>
    <w:rPr>
      <w:i/>
      <w:color w:val="2D3C4B"/>
      <w:sz w:val="19"/>
      <w:szCs w:val="19"/>
      <w:lang w:val="en-GB"/>
    </w:rPr>
  </w:style>
  <w:style w:type="character" w:styleId="Hyperlink">
    <w:name w:val="Hyperlink"/>
    <w:basedOn w:val="DefaultParagraphFont"/>
    <w:rsid w:val="00EA65F2"/>
    <w:rPr>
      <w:rFonts w:ascii="Arial" w:hAnsi="Arial"/>
      <w:color w:val="auto"/>
      <w:u w:val="none"/>
    </w:rPr>
  </w:style>
  <w:style w:type="character" w:styleId="FollowedHyperlink">
    <w:name w:val="FollowedHyperlink"/>
    <w:basedOn w:val="DefaultParagraphFont"/>
    <w:rsid w:val="00EA65F2"/>
    <w:rPr>
      <w:rFonts w:ascii="Arial" w:hAnsi="Arial"/>
      <w:color w:val="auto"/>
      <w:u w:val="none"/>
    </w:rPr>
  </w:style>
  <w:style w:type="paragraph" w:styleId="List">
    <w:name w:val="List"/>
    <w:basedOn w:val="Normal"/>
    <w:rsid w:val="00D716D6"/>
    <w:pPr>
      <w:numPr>
        <w:numId w:val="4"/>
      </w:numPr>
      <w:spacing w:before="60" w:after="60"/>
    </w:pPr>
  </w:style>
  <w:style w:type="paragraph" w:customStyle="1" w:styleId="IATED-ACKREFERENCES">
    <w:name w:val="IATED-ACK &amp; REFERENCES"/>
    <w:basedOn w:val="Normal"/>
    <w:qFormat/>
    <w:rsid w:val="00F64142"/>
    <w:pPr>
      <w:keepNext/>
      <w:spacing w:before="360" w:after="60"/>
    </w:pPr>
    <w:rPr>
      <w:b/>
      <w:bCs/>
      <w:caps/>
      <w:sz w:val="24"/>
    </w:rPr>
  </w:style>
  <w:style w:type="paragraph" w:customStyle="1" w:styleId="IATED-TableContent">
    <w:name w:val="IATED-TableContent"/>
    <w:basedOn w:val="Normal"/>
    <w:qFormat/>
    <w:rsid w:val="00C363AC"/>
    <w:pPr>
      <w:spacing w:before="80" w:after="40"/>
      <w:ind w:left="-40" w:right="-68"/>
      <w:jc w:val="center"/>
    </w:pPr>
    <w:rPr>
      <w:spacing w:val="-2"/>
      <w:sz w:val="19"/>
      <w:szCs w:val="19"/>
      <w:lang w:val="en-GB"/>
    </w:rPr>
  </w:style>
  <w:style w:type="paragraph" w:customStyle="1" w:styleId="IATED-TableHeader">
    <w:name w:val="IATED-TableHeader"/>
    <w:basedOn w:val="Normal"/>
    <w:qFormat/>
    <w:rsid w:val="002E2B28"/>
    <w:pPr>
      <w:keepNext/>
      <w:tabs>
        <w:tab w:val="left" w:pos="851"/>
      </w:tabs>
      <w:spacing w:before="80" w:after="40"/>
      <w:ind w:left="-113" w:right="-57"/>
      <w:jc w:val="center"/>
    </w:pPr>
    <w:rPr>
      <w:b/>
      <w:i/>
      <w:color w:val="46505A"/>
      <w:sz w:val="19"/>
      <w:szCs w:val="19"/>
      <w:lang w:val="en-GB"/>
    </w:rPr>
  </w:style>
  <w:style w:type="numbering" w:customStyle="1" w:styleId="Listaactual1">
    <w:name w:val="Lista actual1"/>
    <w:uiPriority w:val="99"/>
    <w:rsid w:val="00424E78"/>
    <w:pPr>
      <w:numPr>
        <w:numId w:val="3"/>
      </w:numPr>
    </w:pPr>
  </w:style>
  <w:style w:type="paragraph" w:styleId="ListParagraph">
    <w:name w:val="List Paragraph"/>
    <w:basedOn w:val="Normal"/>
    <w:uiPriority w:val="34"/>
    <w:qFormat/>
    <w:rsid w:val="002A6DF2"/>
    <w:pPr>
      <w:numPr>
        <w:numId w:val="5"/>
      </w:numPr>
      <w:spacing w:before="60" w:after="60"/>
      <w:ind w:left="924" w:hanging="357"/>
    </w:pPr>
  </w:style>
  <w:style w:type="table" w:styleId="LightShading">
    <w:name w:val="Light Shading"/>
    <w:basedOn w:val="TableNormal"/>
    <w:uiPriority w:val="60"/>
    <w:rsid w:val="00CB4A94"/>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12" w:space="0" w:color="auto"/>
        <w:bottom w:val="single" w:sz="12"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ynqvb">
    <w:name w:val="rynqvb"/>
    <w:basedOn w:val="DefaultParagraphFont"/>
    <w:rsid w:val="00A41430"/>
  </w:style>
  <w:style w:type="paragraph" w:styleId="Header">
    <w:name w:val="header"/>
    <w:basedOn w:val="Normal"/>
    <w:link w:val="HeaderChar"/>
    <w:unhideWhenUsed/>
    <w:rsid w:val="009C17C2"/>
    <w:pPr>
      <w:tabs>
        <w:tab w:val="center" w:pos="4419"/>
        <w:tab w:val="right" w:pos="8838"/>
      </w:tabs>
      <w:spacing w:before="0" w:after="0"/>
    </w:pPr>
  </w:style>
  <w:style w:type="character" w:customStyle="1" w:styleId="HeaderChar">
    <w:name w:val="Header Char"/>
    <w:basedOn w:val="DefaultParagraphFont"/>
    <w:link w:val="Header"/>
    <w:rsid w:val="009C17C2"/>
    <w:rPr>
      <w:rFonts w:ascii="Arial" w:hAnsi="Arial"/>
      <w:szCs w:val="24"/>
    </w:rPr>
  </w:style>
  <w:style w:type="paragraph" w:styleId="Footer">
    <w:name w:val="footer"/>
    <w:basedOn w:val="Normal"/>
    <w:link w:val="FooterChar"/>
    <w:unhideWhenUsed/>
    <w:rsid w:val="009C17C2"/>
    <w:pPr>
      <w:tabs>
        <w:tab w:val="center" w:pos="4419"/>
        <w:tab w:val="right" w:pos="8838"/>
      </w:tabs>
      <w:spacing w:before="0" w:after="0"/>
    </w:pPr>
  </w:style>
  <w:style w:type="character" w:customStyle="1" w:styleId="FooterChar">
    <w:name w:val="Footer Char"/>
    <w:basedOn w:val="DefaultParagraphFont"/>
    <w:link w:val="Footer"/>
    <w:rsid w:val="009C17C2"/>
    <w:rPr>
      <w:rFonts w:ascii="Arial" w:hAnsi="Arial"/>
      <w:szCs w:val="24"/>
    </w:rPr>
  </w:style>
  <w:style w:type="paragraph" w:customStyle="1" w:styleId="ii-Tit1">
    <w:name w:val="ii-Tit1"/>
    <w:basedOn w:val="Heading1"/>
    <w:qFormat/>
    <w:rsid w:val="001263B7"/>
    <w:pPr>
      <w:tabs>
        <w:tab w:val="num" w:pos="425"/>
      </w:tabs>
      <w:spacing w:after="80"/>
      <w:ind w:left="425" w:hanging="425"/>
    </w:pPr>
    <w:rPr>
      <w:lang w:val="es-ES" w:eastAsia="es-ES"/>
    </w:rPr>
  </w:style>
  <w:style w:type="paragraph" w:customStyle="1" w:styleId="ii-Tit2">
    <w:name w:val="ii-Tit2"/>
    <w:basedOn w:val="Heading2"/>
    <w:qFormat/>
    <w:rsid w:val="001263B7"/>
    <w:pPr>
      <w:tabs>
        <w:tab w:val="num" w:pos="567"/>
      </w:tabs>
      <w:spacing w:after="80"/>
      <w:ind w:left="567" w:hanging="567"/>
    </w:pPr>
    <w:rPr>
      <w:lang w:val="en-GB" w:eastAsia="es-ES"/>
    </w:rPr>
  </w:style>
  <w:style w:type="paragraph" w:customStyle="1" w:styleId="ii-text">
    <w:name w:val="ii-text"/>
    <w:link w:val="ii-textCar"/>
    <w:qFormat/>
    <w:rsid w:val="001263B7"/>
    <w:pPr>
      <w:spacing w:before="120" w:after="120"/>
      <w:jc w:val="both"/>
    </w:pPr>
    <w:rPr>
      <w:rFonts w:ascii="Arial" w:hAnsi="Arial"/>
      <w:szCs w:val="24"/>
      <w:lang w:val="en-GB" w:eastAsia="es-ES"/>
    </w:rPr>
  </w:style>
  <w:style w:type="character" w:customStyle="1" w:styleId="ii-textCar">
    <w:name w:val="ii-text Car"/>
    <w:link w:val="ii-text"/>
    <w:rsid w:val="001263B7"/>
    <w:rPr>
      <w:rFonts w:ascii="Arial" w:hAnsi="Arial"/>
      <w:szCs w:val="24"/>
      <w:lang w:val="en-GB" w:eastAsia="es-ES"/>
    </w:rPr>
  </w:style>
  <w:style w:type="paragraph" w:customStyle="1" w:styleId="ii-Tit3">
    <w:name w:val="ii-Tit3"/>
    <w:basedOn w:val="Heading3"/>
    <w:qFormat/>
    <w:rsid w:val="001263B7"/>
    <w:pPr>
      <w:tabs>
        <w:tab w:val="num" w:pos="709"/>
      </w:tabs>
      <w:spacing w:before="200" w:after="80"/>
      <w:ind w:left="709" w:hanging="709"/>
      <w:jc w:val="left"/>
    </w:pPr>
    <w:rPr>
      <w:lang w:val="en-GB" w:eastAsia="x-none"/>
    </w:rPr>
  </w:style>
  <w:style w:type="paragraph" w:customStyle="1" w:styleId="ii-Tit4">
    <w:name w:val="ii-Tit4"/>
    <w:basedOn w:val="Heading4"/>
    <w:qFormat/>
    <w:rsid w:val="001263B7"/>
    <w:pPr>
      <w:tabs>
        <w:tab w:val="num" w:pos="851"/>
      </w:tabs>
      <w:spacing w:before="180"/>
      <w:ind w:left="851" w:hanging="851"/>
    </w:pPr>
    <w:rPr>
      <w:rFonts w:cs="Arial"/>
      <w:sz w:val="21"/>
      <w:szCs w:val="21"/>
      <w:lang w:val="es-ES" w:eastAsia="es-ES"/>
    </w:rPr>
  </w:style>
  <w:style w:type="numbering" w:customStyle="1" w:styleId="IATEDSections">
    <w:name w:val="IATED Sections"/>
    <w:rsid w:val="001263B7"/>
    <w:pPr>
      <w:numPr>
        <w:numId w:val="10"/>
      </w:numPr>
    </w:pPr>
  </w:style>
  <w:style w:type="paragraph" w:customStyle="1" w:styleId="ii-ttab">
    <w:name w:val="ii-ttab"/>
    <w:basedOn w:val="ii-text"/>
    <w:next w:val="ii-text"/>
    <w:link w:val="ii-ttabCar"/>
    <w:qFormat/>
    <w:rsid w:val="001263B7"/>
    <w:pPr>
      <w:keepNext/>
      <w:tabs>
        <w:tab w:val="left" w:pos="851"/>
      </w:tabs>
      <w:spacing w:before="300"/>
      <w:jc w:val="center"/>
    </w:pPr>
    <w:rPr>
      <w:i/>
      <w:color w:val="232D37"/>
      <w:sz w:val="19"/>
      <w:szCs w:val="19"/>
    </w:rPr>
  </w:style>
  <w:style w:type="character" w:customStyle="1" w:styleId="ii-ttabCar">
    <w:name w:val="ii-ttab Car"/>
    <w:link w:val="ii-ttab"/>
    <w:rsid w:val="001263B7"/>
    <w:rPr>
      <w:rFonts w:ascii="Arial" w:hAnsi="Arial"/>
      <w:i/>
      <w:color w:val="232D37"/>
      <w:sz w:val="19"/>
      <w:szCs w:val="19"/>
      <w:lang w:val="en-GB" w:eastAsia="es-ES"/>
    </w:rPr>
  </w:style>
  <w:style w:type="paragraph" w:customStyle="1" w:styleId="ii-ttfoto">
    <w:name w:val="ii-ttfoto"/>
    <w:basedOn w:val="ii-text"/>
    <w:next w:val="ii-tttfig"/>
    <w:link w:val="ii-ttfotoCar"/>
    <w:qFormat/>
    <w:rsid w:val="001263B7"/>
    <w:pPr>
      <w:tabs>
        <w:tab w:val="center" w:pos="2268"/>
        <w:tab w:val="center" w:pos="6804"/>
      </w:tabs>
      <w:spacing w:before="300" w:after="100"/>
      <w:jc w:val="center"/>
    </w:pPr>
  </w:style>
  <w:style w:type="paragraph" w:customStyle="1" w:styleId="ii-tttfig">
    <w:name w:val="ii-tttfig"/>
    <w:basedOn w:val="ii-text"/>
    <w:next w:val="ii-text"/>
    <w:link w:val="ii-tttfigCar"/>
    <w:qFormat/>
    <w:rsid w:val="001263B7"/>
    <w:pPr>
      <w:tabs>
        <w:tab w:val="center" w:pos="2268"/>
        <w:tab w:val="center" w:pos="6804"/>
      </w:tabs>
      <w:spacing w:before="60" w:after="280"/>
      <w:jc w:val="center"/>
    </w:pPr>
    <w:rPr>
      <w:i/>
      <w:color w:val="2D3C4B"/>
      <w:sz w:val="19"/>
      <w:szCs w:val="19"/>
    </w:rPr>
  </w:style>
  <w:style w:type="character" w:customStyle="1" w:styleId="ii-tttfigCar">
    <w:name w:val="ii-tttfig Car"/>
    <w:link w:val="ii-tttfig"/>
    <w:rsid w:val="001263B7"/>
    <w:rPr>
      <w:rFonts w:ascii="Arial" w:hAnsi="Arial"/>
      <w:i/>
      <w:color w:val="2D3C4B"/>
      <w:sz w:val="19"/>
      <w:szCs w:val="19"/>
      <w:lang w:val="en-GB" w:eastAsia="es-ES"/>
    </w:rPr>
  </w:style>
  <w:style w:type="character" w:customStyle="1" w:styleId="ii-ttfotoCar">
    <w:name w:val="ii-ttfoto Car"/>
    <w:basedOn w:val="ii-textCar"/>
    <w:link w:val="ii-ttfoto"/>
    <w:rsid w:val="001263B7"/>
    <w:rPr>
      <w:rFonts w:ascii="Arial" w:hAnsi="Arial"/>
      <w:szCs w:val="24"/>
      <w:lang w:val="en-GB" w:eastAsia="es-ES"/>
    </w:rPr>
  </w:style>
  <w:style w:type="paragraph" w:customStyle="1" w:styleId="ii-ttabtext">
    <w:name w:val="ii-ttabtext"/>
    <w:basedOn w:val="ii-text"/>
    <w:next w:val="ii-text"/>
    <w:link w:val="ii-ttabtextCar"/>
    <w:qFormat/>
    <w:rsid w:val="001263B7"/>
    <w:pPr>
      <w:spacing w:before="300"/>
    </w:pPr>
  </w:style>
  <w:style w:type="character" w:customStyle="1" w:styleId="ii-ttabtextCar">
    <w:name w:val="ii-ttabtext Car"/>
    <w:basedOn w:val="ii-textCar"/>
    <w:link w:val="ii-ttabtext"/>
    <w:rsid w:val="001263B7"/>
    <w:rPr>
      <w:rFonts w:ascii="Arial" w:hAnsi="Arial"/>
      <w:szCs w:val="24"/>
      <w:lang w:val="en-GB" w:eastAsia="es-ES"/>
    </w:rPr>
  </w:style>
  <w:style w:type="paragraph" w:customStyle="1" w:styleId="ii-cita">
    <w:name w:val="ii-cita"/>
    <w:basedOn w:val="ii-ttfoto"/>
    <w:link w:val="ii-citaCar"/>
    <w:qFormat/>
    <w:rsid w:val="001263B7"/>
    <w:pPr>
      <w:tabs>
        <w:tab w:val="right" w:pos="8505"/>
      </w:tabs>
      <w:spacing w:before="120" w:after="0"/>
      <w:ind w:left="567" w:right="567"/>
      <w:jc w:val="both"/>
    </w:pPr>
    <w:rPr>
      <w:i/>
    </w:rPr>
  </w:style>
  <w:style w:type="character" w:customStyle="1" w:styleId="ii-citaCar">
    <w:name w:val="ii-cita Car"/>
    <w:link w:val="ii-cita"/>
    <w:rsid w:val="001263B7"/>
    <w:rPr>
      <w:rFonts w:ascii="Arial" w:hAnsi="Arial"/>
      <w:i/>
      <w:szCs w:val="24"/>
      <w:lang w:val="en-GB" w:eastAsia="es-ES"/>
    </w:rPr>
  </w:style>
  <w:style w:type="paragraph" w:customStyle="1" w:styleId="ii-xPie">
    <w:name w:val="ii-xPie"/>
    <w:basedOn w:val="ii-text"/>
    <w:link w:val="ii-xPieCar"/>
    <w:qFormat/>
    <w:rsid w:val="001263B7"/>
    <w:pPr>
      <w:spacing w:before="0" w:after="40" w:line="228" w:lineRule="auto"/>
      <w:ind w:left="142" w:hanging="142"/>
    </w:pPr>
    <w:rPr>
      <w:color w:val="1E2328"/>
      <w:spacing w:val="-2"/>
      <w:sz w:val="16"/>
      <w:szCs w:val="16"/>
    </w:rPr>
  </w:style>
  <w:style w:type="character" w:customStyle="1" w:styleId="ii-xPieCar">
    <w:name w:val="ii-xPie Car"/>
    <w:link w:val="ii-xPie"/>
    <w:rsid w:val="001263B7"/>
    <w:rPr>
      <w:rFonts w:ascii="Arial" w:hAnsi="Arial"/>
      <w:color w:val="1E2328"/>
      <w:spacing w:val="-2"/>
      <w:sz w:val="16"/>
      <w:szCs w:val="16"/>
      <w:lang w:val="en-GB" w:eastAsia="es-ES"/>
    </w:rPr>
  </w:style>
  <w:style w:type="paragraph" w:customStyle="1" w:styleId="ii-viny--">
    <w:name w:val="ii-viny--"/>
    <w:basedOn w:val="ii-text"/>
    <w:link w:val="ii-viny--Car"/>
    <w:qFormat/>
    <w:rsid w:val="001263B7"/>
    <w:pPr>
      <w:numPr>
        <w:numId w:val="6"/>
      </w:numPr>
      <w:spacing w:before="80" w:after="80"/>
      <w:ind w:left="568" w:hanging="284"/>
    </w:pPr>
  </w:style>
  <w:style w:type="character" w:customStyle="1" w:styleId="ii-viny--Car">
    <w:name w:val="ii-viny-- Car"/>
    <w:basedOn w:val="ii-textCar"/>
    <w:link w:val="ii-viny--"/>
    <w:rsid w:val="001263B7"/>
    <w:rPr>
      <w:rFonts w:ascii="Arial" w:hAnsi="Arial"/>
      <w:szCs w:val="24"/>
      <w:lang w:val="en-GB" w:eastAsia="es-ES"/>
    </w:rPr>
  </w:style>
  <w:style w:type="paragraph" w:customStyle="1" w:styleId="ii-viny-O">
    <w:name w:val="ii-viny-O"/>
    <w:basedOn w:val="ii-text"/>
    <w:link w:val="ii-viny-OCar"/>
    <w:qFormat/>
    <w:rsid w:val="001263B7"/>
    <w:pPr>
      <w:numPr>
        <w:numId w:val="12"/>
      </w:numPr>
      <w:spacing w:before="100" w:after="100"/>
    </w:pPr>
  </w:style>
  <w:style w:type="character" w:customStyle="1" w:styleId="ii-viny-OCar">
    <w:name w:val="ii-viny-O Car"/>
    <w:basedOn w:val="ii-viny--Car"/>
    <w:link w:val="ii-viny-O"/>
    <w:rsid w:val="001263B7"/>
    <w:rPr>
      <w:rFonts w:ascii="Arial" w:hAnsi="Arial"/>
      <w:szCs w:val="24"/>
      <w:lang w:val="en-GB" w:eastAsia="es-ES"/>
    </w:rPr>
  </w:style>
  <w:style w:type="paragraph" w:customStyle="1" w:styleId="ii-xNUM">
    <w:name w:val="ii-xNUM"/>
    <w:basedOn w:val="ii-text"/>
    <w:link w:val="ii-xNUMCar"/>
    <w:qFormat/>
    <w:rsid w:val="001263B7"/>
    <w:pPr>
      <w:numPr>
        <w:numId w:val="15"/>
      </w:numPr>
      <w:spacing w:before="100" w:after="80"/>
    </w:pPr>
  </w:style>
  <w:style w:type="character" w:customStyle="1" w:styleId="ii-xNUMCar">
    <w:name w:val="ii-xNUM Car"/>
    <w:basedOn w:val="ii-viny-OCar"/>
    <w:link w:val="ii-xNUM"/>
    <w:rsid w:val="001263B7"/>
    <w:rPr>
      <w:rFonts w:ascii="Arial" w:hAnsi="Arial"/>
      <w:szCs w:val="24"/>
      <w:lang w:val="en-GB" w:eastAsia="es-ES"/>
    </w:rPr>
  </w:style>
  <w:style w:type="paragraph" w:customStyle="1" w:styleId="ii-source">
    <w:name w:val="ii-source"/>
    <w:basedOn w:val="ii-text"/>
    <w:link w:val="ii-sourceCar"/>
    <w:qFormat/>
    <w:rsid w:val="001263B7"/>
    <w:pPr>
      <w:spacing w:before="40" w:after="0" w:line="228" w:lineRule="auto"/>
    </w:pPr>
    <w:rPr>
      <w:i/>
      <w:color w:val="1E2328"/>
      <w:spacing w:val="-2"/>
      <w:sz w:val="17"/>
      <w:szCs w:val="17"/>
    </w:rPr>
  </w:style>
  <w:style w:type="paragraph" w:customStyle="1" w:styleId="ii-xREF">
    <w:name w:val="ii-xREF"/>
    <w:qFormat/>
    <w:rsid w:val="001263B7"/>
    <w:pPr>
      <w:keepLines/>
      <w:numPr>
        <w:numId w:val="11"/>
      </w:numPr>
      <w:spacing w:before="120" w:after="120"/>
    </w:pPr>
    <w:rPr>
      <w:rFonts w:ascii="Arial" w:hAnsi="Arial"/>
      <w:spacing w:val="-2"/>
      <w:szCs w:val="24"/>
      <w:lang w:val="en-GB" w:eastAsia="es-ES"/>
    </w:rPr>
  </w:style>
  <w:style w:type="paragraph" w:customStyle="1" w:styleId="ii-viny-oo">
    <w:name w:val="ii-viny-oo"/>
    <w:basedOn w:val="ii-text"/>
    <w:link w:val="ii-viny-ooCar"/>
    <w:qFormat/>
    <w:rsid w:val="001263B7"/>
    <w:pPr>
      <w:numPr>
        <w:ilvl w:val="1"/>
        <w:numId w:val="12"/>
      </w:numPr>
      <w:spacing w:before="80" w:after="80"/>
    </w:pPr>
  </w:style>
  <w:style w:type="character" w:customStyle="1" w:styleId="ii-sourceCar">
    <w:name w:val="ii-source Car"/>
    <w:link w:val="ii-source"/>
    <w:rsid w:val="001263B7"/>
    <w:rPr>
      <w:rFonts w:ascii="Arial" w:hAnsi="Arial"/>
      <w:i/>
      <w:color w:val="1E2328"/>
      <w:spacing w:val="-2"/>
      <w:sz w:val="17"/>
      <w:szCs w:val="17"/>
      <w:lang w:val="en-GB" w:eastAsia="es-ES"/>
    </w:rPr>
  </w:style>
  <w:style w:type="paragraph" w:customStyle="1" w:styleId="ii-citaut">
    <w:name w:val="ii-citaut"/>
    <w:basedOn w:val="ii-cita"/>
    <w:link w:val="ii-citautCar"/>
    <w:qFormat/>
    <w:rsid w:val="001263B7"/>
    <w:pPr>
      <w:spacing w:before="40" w:after="160"/>
      <w:jc w:val="right"/>
    </w:pPr>
  </w:style>
  <w:style w:type="character" w:customStyle="1" w:styleId="ii-viny-ooCar">
    <w:name w:val="ii-viny-oo Car"/>
    <w:basedOn w:val="ii-viny-OCar"/>
    <w:link w:val="ii-viny-oo"/>
    <w:rsid w:val="001263B7"/>
    <w:rPr>
      <w:rFonts w:ascii="Arial" w:hAnsi="Arial"/>
      <w:szCs w:val="24"/>
      <w:lang w:val="en-GB" w:eastAsia="es-ES"/>
    </w:rPr>
  </w:style>
  <w:style w:type="paragraph" w:customStyle="1" w:styleId="ii5">
    <w:name w:val="ii5"/>
    <w:basedOn w:val="ii-text"/>
    <w:link w:val="ii5Car"/>
    <w:qFormat/>
    <w:rsid w:val="001263B7"/>
    <w:pPr>
      <w:keepNext/>
      <w:numPr>
        <w:numId w:val="7"/>
      </w:numPr>
      <w:spacing w:before="180" w:after="80"/>
      <w:ind w:left="284" w:hanging="284"/>
    </w:pPr>
    <w:rPr>
      <w:i/>
      <w:u w:val="single"/>
    </w:rPr>
  </w:style>
  <w:style w:type="character" w:customStyle="1" w:styleId="ii-citautCar">
    <w:name w:val="ii-citaut Car"/>
    <w:basedOn w:val="ii-citaCar"/>
    <w:link w:val="ii-citaut"/>
    <w:rsid w:val="001263B7"/>
    <w:rPr>
      <w:rFonts w:ascii="Arial" w:hAnsi="Arial"/>
      <w:i/>
      <w:szCs w:val="24"/>
      <w:lang w:val="en-GB" w:eastAsia="es-ES"/>
    </w:rPr>
  </w:style>
  <w:style w:type="character" w:customStyle="1" w:styleId="ii5Car">
    <w:name w:val="ii5 Car"/>
    <w:link w:val="ii5"/>
    <w:rsid w:val="001263B7"/>
    <w:rPr>
      <w:rFonts w:ascii="Arial" w:hAnsi="Arial"/>
      <w:i/>
      <w:szCs w:val="24"/>
      <w:u w:val="single"/>
      <w:lang w:val="en-GB" w:eastAsia="es-ES"/>
    </w:rPr>
  </w:style>
  <w:style w:type="paragraph" w:customStyle="1" w:styleId="ii6">
    <w:name w:val="ii6"/>
    <w:basedOn w:val="ii5"/>
    <w:link w:val="ii6Car"/>
    <w:qFormat/>
    <w:rsid w:val="001263B7"/>
    <w:pPr>
      <w:numPr>
        <w:numId w:val="0"/>
      </w:numPr>
      <w:spacing w:before="140"/>
      <w:ind w:left="568" w:hanging="284"/>
    </w:pPr>
  </w:style>
  <w:style w:type="paragraph" w:customStyle="1" w:styleId="ii6text5">
    <w:name w:val="ii6text5"/>
    <w:basedOn w:val="ii-text"/>
    <w:link w:val="ii6text5Car"/>
    <w:qFormat/>
    <w:rsid w:val="001263B7"/>
    <w:pPr>
      <w:spacing w:before="100" w:after="100"/>
      <w:ind w:left="567"/>
    </w:pPr>
  </w:style>
  <w:style w:type="character" w:customStyle="1" w:styleId="ii6Car">
    <w:name w:val="ii6 Car"/>
    <w:link w:val="ii6"/>
    <w:rsid w:val="001263B7"/>
    <w:rPr>
      <w:rFonts w:ascii="Arial" w:hAnsi="Arial"/>
      <w:i/>
      <w:szCs w:val="24"/>
      <w:u w:val="single"/>
      <w:lang w:val="en-GB" w:eastAsia="es-ES"/>
    </w:rPr>
  </w:style>
  <w:style w:type="character" w:customStyle="1" w:styleId="ii6text5Car">
    <w:name w:val="ii6text5 Car"/>
    <w:link w:val="ii6text5"/>
    <w:rsid w:val="001263B7"/>
    <w:rPr>
      <w:rFonts w:ascii="Arial" w:hAnsi="Arial"/>
      <w:szCs w:val="24"/>
      <w:lang w:val="en-GB" w:eastAsia="es-ES"/>
    </w:rPr>
  </w:style>
  <w:style w:type="paragraph" w:customStyle="1" w:styleId="ii-ttabt41">
    <w:name w:val="ii-ttabt41"/>
    <w:basedOn w:val="ii-text"/>
    <w:link w:val="ii-ttabt41Car"/>
    <w:qFormat/>
    <w:rsid w:val="001263B7"/>
    <w:pPr>
      <w:spacing w:before="80" w:after="20"/>
      <w:ind w:left="-34" w:right="-62"/>
      <w:jc w:val="left"/>
    </w:pPr>
    <w:rPr>
      <w:sz w:val="18"/>
    </w:rPr>
  </w:style>
  <w:style w:type="character" w:customStyle="1" w:styleId="ii-ttabt41Car">
    <w:name w:val="ii-ttabt41 Car"/>
    <w:link w:val="ii-ttabt41"/>
    <w:rsid w:val="001263B7"/>
    <w:rPr>
      <w:rFonts w:ascii="Arial" w:hAnsi="Arial"/>
      <w:sz w:val="18"/>
      <w:szCs w:val="24"/>
      <w:lang w:val="en-GB" w:eastAsia="es-ES"/>
    </w:rPr>
  </w:style>
  <w:style w:type="numbering" w:customStyle="1" w:styleId="References">
    <w:name w:val="References"/>
    <w:rsid w:val="001263B7"/>
    <w:pPr>
      <w:numPr>
        <w:numId w:val="11"/>
      </w:numPr>
    </w:pPr>
  </w:style>
  <w:style w:type="numbering" w:customStyle="1" w:styleId="Numerationi">
    <w:name w:val="Numeration_i"/>
    <w:rsid w:val="001263B7"/>
    <w:pPr>
      <w:numPr>
        <w:numId w:val="8"/>
      </w:numPr>
    </w:pPr>
  </w:style>
  <w:style w:type="numbering" w:customStyle="1" w:styleId="Circle">
    <w:name w:val="Circle"/>
    <w:rsid w:val="001263B7"/>
    <w:pPr>
      <w:numPr>
        <w:numId w:val="9"/>
      </w:numPr>
    </w:pPr>
  </w:style>
  <w:style w:type="paragraph" w:customStyle="1" w:styleId="ii-xForm">
    <w:name w:val="ii-xForm"/>
    <w:basedOn w:val="ii-text"/>
    <w:link w:val="ii-xFormCar"/>
    <w:qFormat/>
    <w:rsid w:val="001263B7"/>
    <w:pPr>
      <w:tabs>
        <w:tab w:val="center" w:pos="4536"/>
        <w:tab w:val="right" w:pos="9070"/>
      </w:tabs>
      <w:spacing w:after="180"/>
    </w:pPr>
  </w:style>
  <w:style w:type="character" w:customStyle="1" w:styleId="ii-xFormCar">
    <w:name w:val="ii-xForm Car"/>
    <w:link w:val="ii-xForm"/>
    <w:rsid w:val="001263B7"/>
    <w:rPr>
      <w:rFonts w:ascii="Arial" w:hAnsi="Arial"/>
      <w:szCs w:val="24"/>
      <w:lang w:val="en-GB" w:eastAsia="es-ES"/>
    </w:rPr>
  </w:style>
  <w:style w:type="paragraph" w:customStyle="1" w:styleId="ii0">
    <w:name w:val="ii0"/>
    <w:basedOn w:val="ii-text"/>
    <w:link w:val="ii0Car"/>
    <w:qFormat/>
    <w:rsid w:val="001263B7"/>
    <w:pPr>
      <w:spacing w:before="0" w:after="0"/>
    </w:pPr>
    <w:rPr>
      <w:sz w:val="4"/>
      <w:szCs w:val="4"/>
    </w:rPr>
  </w:style>
  <w:style w:type="paragraph" w:customStyle="1" w:styleId="ii-viny-ooo">
    <w:name w:val="ii-viny-ooo"/>
    <w:basedOn w:val="ii-viny-oo"/>
    <w:link w:val="ii-viny-oooCar"/>
    <w:qFormat/>
    <w:rsid w:val="001263B7"/>
    <w:pPr>
      <w:numPr>
        <w:ilvl w:val="2"/>
      </w:numPr>
    </w:pPr>
  </w:style>
  <w:style w:type="character" w:customStyle="1" w:styleId="ii0Car">
    <w:name w:val="ii0 Car"/>
    <w:link w:val="ii0"/>
    <w:rsid w:val="001263B7"/>
    <w:rPr>
      <w:rFonts w:ascii="Arial" w:hAnsi="Arial"/>
      <w:sz w:val="4"/>
      <w:szCs w:val="4"/>
      <w:lang w:val="en-GB" w:eastAsia="es-ES"/>
    </w:rPr>
  </w:style>
  <w:style w:type="paragraph" w:customStyle="1" w:styleId="IATED-Abstract">
    <w:name w:val="IATED-Abstract"/>
    <w:basedOn w:val="IATED-Authors"/>
    <w:link w:val="IATED-AbstractCar"/>
    <w:qFormat/>
    <w:rsid w:val="001263B7"/>
    <w:pPr>
      <w:spacing w:before="480"/>
    </w:pPr>
    <w:rPr>
      <w:lang w:val="en-GB" w:eastAsia="es-ES"/>
    </w:rPr>
  </w:style>
  <w:style w:type="character" w:customStyle="1" w:styleId="ii-viny-oooCar">
    <w:name w:val="ii-viny-ooo Car"/>
    <w:basedOn w:val="ii-viny-ooCar"/>
    <w:link w:val="ii-viny-ooo"/>
    <w:rsid w:val="001263B7"/>
    <w:rPr>
      <w:rFonts w:ascii="Arial" w:hAnsi="Arial"/>
      <w:szCs w:val="24"/>
      <w:lang w:val="en-GB" w:eastAsia="es-ES"/>
    </w:rPr>
  </w:style>
  <w:style w:type="character" w:customStyle="1" w:styleId="IATED-AbstractCar">
    <w:name w:val="IATED-Abstract Car"/>
    <w:link w:val="IATED-Abstract"/>
    <w:rsid w:val="001263B7"/>
    <w:rPr>
      <w:rFonts w:ascii="Arial" w:hAnsi="Arial" w:cs="Arial"/>
      <w:b/>
      <w:bCs/>
      <w:sz w:val="24"/>
      <w:szCs w:val="24"/>
      <w:lang w:val="en-GB" w:eastAsia="es-ES"/>
    </w:rPr>
  </w:style>
  <w:style w:type="paragraph" w:customStyle="1" w:styleId="ii-textexact">
    <w:name w:val="ii-textexact"/>
    <w:basedOn w:val="ii-text"/>
    <w:link w:val="ii-textexactCar"/>
    <w:qFormat/>
    <w:rsid w:val="001263B7"/>
    <w:pPr>
      <w:spacing w:line="240" w:lineRule="exact"/>
    </w:pPr>
  </w:style>
  <w:style w:type="character" w:customStyle="1" w:styleId="ii-textexactCar">
    <w:name w:val="ii-textexact Car"/>
    <w:basedOn w:val="ii-textCar"/>
    <w:link w:val="ii-textexact"/>
    <w:rsid w:val="001263B7"/>
    <w:rPr>
      <w:rFonts w:ascii="Arial" w:hAnsi="Arial"/>
      <w:szCs w:val="24"/>
      <w:lang w:val="en-GB" w:eastAsia="es-ES"/>
    </w:rPr>
  </w:style>
  <w:style w:type="paragraph" w:customStyle="1" w:styleId="ii-ttabt42">
    <w:name w:val="ii-ttabt42"/>
    <w:basedOn w:val="ii-ttabt41"/>
    <w:qFormat/>
    <w:rsid w:val="001263B7"/>
    <w:pPr>
      <w:spacing w:after="40"/>
      <w:ind w:left="-28" w:right="-57"/>
      <w:jc w:val="center"/>
    </w:pPr>
    <w:rPr>
      <w:sz w:val="19"/>
      <w:szCs w:val="19"/>
    </w:rPr>
  </w:style>
  <w:style w:type="paragraph" w:customStyle="1" w:styleId="ii-ttab20">
    <w:name w:val="ii-ttab20"/>
    <w:basedOn w:val="ii-ttabt41"/>
    <w:link w:val="ii-ttab20Car"/>
    <w:qFormat/>
    <w:rsid w:val="001263B7"/>
    <w:pPr>
      <w:spacing w:before="40" w:after="0" w:line="228" w:lineRule="auto"/>
      <w:ind w:left="-57" w:right="-79"/>
    </w:pPr>
    <w:rPr>
      <w:spacing w:val="-4"/>
      <w:sz w:val="17"/>
      <w:szCs w:val="17"/>
    </w:rPr>
  </w:style>
  <w:style w:type="character" w:customStyle="1" w:styleId="ii-ttab20Car">
    <w:name w:val="ii-ttab20 Car"/>
    <w:basedOn w:val="ii-ttabt41Car"/>
    <w:link w:val="ii-ttab20"/>
    <w:rsid w:val="001263B7"/>
    <w:rPr>
      <w:rFonts w:ascii="Arial" w:hAnsi="Arial"/>
      <w:spacing w:val="-4"/>
      <w:sz w:val="17"/>
      <w:szCs w:val="17"/>
      <w:lang w:val="en-GB" w:eastAsia="es-ES"/>
    </w:rPr>
  </w:style>
  <w:style w:type="paragraph" w:customStyle="1" w:styleId="ii-tttfig0">
    <w:name w:val="ii-tttfig0"/>
    <w:basedOn w:val="ii-tttfig"/>
    <w:qFormat/>
    <w:rsid w:val="001263B7"/>
    <w:pPr>
      <w:spacing w:before="20" w:after="0"/>
    </w:pPr>
  </w:style>
  <w:style w:type="paragraph" w:customStyle="1" w:styleId="ii-REFACK">
    <w:name w:val="ii-REFACK"/>
    <w:basedOn w:val="ii-text"/>
    <w:qFormat/>
    <w:rsid w:val="001263B7"/>
    <w:pPr>
      <w:keepNext/>
      <w:spacing w:before="360" w:after="80"/>
    </w:pPr>
    <w:rPr>
      <w:b/>
      <w:caps/>
      <w:sz w:val="24"/>
    </w:rPr>
  </w:style>
  <w:style w:type="paragraph" w:customStyle="1" w:styleId="ii-xREF2">
    <w:name w:val="ii-xREF2"/>
    <w:basedOn w:val="ii-text"/>
    <w:qFormat/>
    <w:rsid w:val="001263B7"/>
    <w:pPr>
      <w:keepLines/>
      <w:ind w:left="567" w:hanging="567"/>
      <w:jc w:val="left"/>
    </w:pPr>
    <w:rPr>
      <w:spacing w:val="-2"/>
    </w:rPr>
  </w:style>
  <w:style w:type="paragraph" w:customStyle="1" w:styleId="ii-ttabt31">
    <w:name w:val="ii-ttabt31"/>
    <w:basedOn w:val="ii-ttabt41"/>
    <w:qFormat/>
    <w:rsid w:val="001263B7"/>
    <w:pPr>
      <w:spacing w:before="60" w:line="233" w:lineRule="auto"/>
      <w:ind w:left="-40" w:right="-68"/>
    </w:pPr>
    <w:rPr>
      <w:spacing w:val="-2"/>
      <w:szCs w:val="19"/>
    </w:rPr>
  </w:style>
  <w:style w:type="paragraph" w:customStyle="1" w:styleId="ii-textComp">
    <w:name w:val="ii-textComp"/>
    <w:basedOn w:val="ii-text"/>
    <w:qFormat/>
    <w:rsid w:val="001263B7"/>
    <w:pPr>
      <w:spacing w:before="100" w:after="100" w:line="233" w:lineRule="auto"/>
    </w:pPr>
    <w:rPr>
      <w:spacing w:val="-2"/>
    </w:rPr>
  </w:style>
  <w:style w:type="paragraph" w:customStyle="1" w:styleId="ii-textExpand">
    <w:name w:val="ii-textExpand"/>
    <w:basedOn w:val="ii-text"/>
    <w:qFormat/>
    <w:rsid w:val="001263B7"/>
    <w:pPr>
      <w:spacing w:before="140" w:after="140" w:line="252" w:lineRule="auto"/>
    </w:pPr>
    <w:rPr>
      <w:spacing w:val="2"/>
    </w:rPr>
  </w:style>
  <w:style w:type="paragraph" w:customStyle="1" w:styleId="ii-A1">
    <w:name w:val="ii-A"/>
    <w:basedOn w:val="ListNumber"/>
    <w:link w:val="ii-ACar"/>
    <w:qFormat/>
    <w:rsid w:val="001263B7"/>
    <w:pPr>
      <w:spacing w:before="160" w:after="80"/>
      <w:contextualSpacing w:val="0"/>
    </w:pPr>
    <w:rPr>
      <w:i/>
      <w:sz w:val="21"/>
      <w:szCs w:val="21"/>
      <w:lang w:val="en-GB"/>
    </w:rPr>
  </w:style>
  <w:style w:type="paragraph" w:customStyle="1" w:styleId="ii-a">
    <w:name w:val="ii-a)"/>
    <w:basedOn w:val="ListNumber2"/>
    <w:link w:val="ii-aCar0"/>
    <w:qFormat/>
    <w:rsid w:val="001263B7"/>
    <w:pPr>
      <w:numPr>
        <w:ilvl w:val="1"/>
        <w:numId w:val="16"/>
      </w:numPr>
      <w:spacing w:before="100" w:after="80"/>
      <w:contextualSpacing w:val="0"/>
    </w:pPr>
    <w:rPr>
      <w:lang w:val="en-GB" w:eastAsia="es-ES"/>
    </w:rPr>
  </w:style>
  <w:style w:type="character" w:customStyle="1" w:styleId="ii-ACar">
    <w:name w:val="ii-A Car"/>
    <w:basedOn w:val="DefaultParagraphFont"/>
    <w:link w:val="ii-A1"/>
    <w:rsid w:val="001263B7"/>
    <w:rPr>
      <w:rFonts w:ascii="Arial" w:hAnsi="Arial"/>
      <w:i/>
      <w:sz w:val="21"/>
      <w:szCs w:val="21"/>
      <w:lang w:val="en-GB" w:eastAsia="es-ES"/>
    </w:rPr>
  </w:style>
  <w:style w:type="paragraph" w:customStyle="1" w:styleId="ii-a0">
    <w:name w:val="ii-a."/>
    <w:basedOn w:val="ListNumber3"/>
    <w:link w:val="ii-aCar1"/>
    <w:qFormat/>
    <w:rsid w:val="001263B7"/>
    <w:pPr>
      <w:numPr>
        <w:ilvl w:val="2"/>
        <w:numId w:val="16"/>
      </w:numPr>
      <w:spacing w:before="80" w:after="80"/>
      <w:contextualSpacing w:val="0"/>
    </w:pPr>
    <w:rPr>
      <w:lang w:val="en-GB" w:eastAsia="es-ES"/>
    </w:rPr>
  </w:style>
  <w:style w:type="character" w:customStyle="1" w:styleId="ii-aCar0">
    <w:name w:val="ii-a) Car"/>
    <w:basedOn w:val="DefaultParagraphFont"/>
    <w:link w:val="ii-a"/>
    <w:rsid w:val="001263B7"/>
    <w:rPr>
      <w:rFonts w:ascii="Arial" w:hAnsi="Arial"/>
      <w:szCs w:val="24"/>
      <w:lang w:val="en-GB" w:eastAsia="es-ES"/>
    </w:rPr>
  </w:style>
  <w:style w:type="character" w:customStyle="1" w:styleId="ii-aCar1">
    <w:name w:val="ii-a. Car"/>
    <w:basedOn w:val="DefaultParagraphFont"/>
    <w:link w:val="ii-a0"/>
    <w:rsid w:val="001263B7"/>
    <w:rPr>
      <w:rFonts w:ascii="Arial" w:hAnsi="Arial"/>
      <w:szCs w:val="24"/>
      <w:lang w:val="en-GB" w:eastAsia="es-ES"/>
    </w:rPr>
  </w:style>
  <w:style w:type="numbering" w:customStyle="1" w:styleId="ii-AAA">
    <w:name w:val="ii-AAA"/>
    <w:uiPriority w:val="99"/>
    <w:rsid w:val="001263B7"/>
    <w:pPr>
      <w:numPr>
        <w:numId w:val="13"/>
      </w:numPr>
    </w:pPr>
  </w:style>
  <w:style w:type="paragraph" w:customStyle="1" w:styleId="ii-ttabTit">
    <w:name w:val="ii-ttabTit"/>
    <w:basedOn w:val="ii-ttab"/>
    <w:qFormat/>
    <w:rsid w:val="001263B7"/>
    <w:pPr>
      <w:spacing w:before="80" w:after="40"/>
      <w:ind w:left="-113" w:right="-57"/>
    </w:pPr>
    <w:rPr>
      <w:b/>
      <w:color w:val="46505A"/>
    </w:rPr>
  </w:style>
  <w:style w:type="paragraph" w:customStyle="1" w:styleId="ii-ttab95">
    <w:name w:val="ii-ttab95"/>
    <w:basedOn w:val="ii-ttab"/>
    <w:qFormat/>
    <w:rsid w:val="001263B7"/>
    <w:pPr>
      <w:spacing w:before="180" w:after="100"/>
    </w:pPr>
  </w:style>
  <w:style w:type="paragraph" w:customStyle="1" w:styleId="ii-ttabTit2">
    <w:name w:val="ii-ttabTit2"/>
    <w:basedOn w:val="ii-ttabTit"/>
    <w:qFormat/>
    <w:rsid w:val="001263B7"/>
    <w:pPr>
      <w:keepNext w:val="0"/>
      <w:spacing w:after="20"/>
      <w:jc w:val="left"/>
    </w:pPr>
  </w:style>
  <w:style w:type="paragraph" w:customStyle="1" w:styleId="ii-ttabTit3">
    <w:name w:val="ii-ttabTit3"/>
    <w:basedOn w:val="ii-ttabTit"/>
    <w:qFormat/>
    <w:rsid w:val="001263B7"/>
    <w:pPr>
      <w:spacing w:before="60" w:after="20"/>
    </w:pPr>
    <w:rPr>
      <w:spacing w:val="-4"/>
      <w:sz w:val="18"/>
    </w:rPr>
  </w:style>
  <w:style w:type="paragraph" w:customStyle="1" w:styleId="ii-tabviny-O">
    <w:name w:val="ii-tabviny-O"/>
    <w:basedOn w:val="ii-viny-O"/>
    <w:next w:val="IATED-Affiliation"/>
    <w:qFormat/>
    <w:rsid w:val="001263B7"/>
    <w:pPr>
      <w:numPr>
        <w:ilvl w:val="1"/>
        <w:numId w:val="14"/>
      </w:numPr>
      <w:tabs>
        <w:tab w:val="num" w:pos="743"/>
      </w:tabs>
      <w:spacing w:before="80" w:after="40"/>
      <w:ind w:left="576" w:hanging="576"/>
    </w:pPr>
    <w:rPr>
      <w:spacing w:val="-4"/>
      <w:sz w:val="18"/>
      <w:szCs w:val="18"/>
    </w:rPr>
  </w:style>
  <w:style w:type="paragraph" w:customStyle="1" w:styleId="ii-tabviny--">
    <w:name w:val="ii-tabviny--"/>
    <w:basedOn w:val="ii-viny--"/>
    <w:qFormat/>
    <w:rsid w:val="001263B7"/>
    <w:pPr>
      <w:numPr>
        <w:ilvl w:val="2"/>
        <w:numId w:val="14"/>
      </w:numPr>
      <w:spacing w:before="60" w:after="20"/>
      <w:ind w:left="720" w:hanging="720"/>
    </w:pPr>
    <w:rPr>
      <w:spacing w:val="-2"/>
      <w:sz w:val="18"/>
    </w:rPr>
  </w:style>
  <w:style w:type="paragraph" w:customStyle="1" w:styleId="ii-tabnum">
    <w:name w:val="ii-tabnum"/>
    <w:basedOn w:val="ii-text"/>
    <w:qFormat/>
    <w:rsid w:val="001263B7"/>
    <w:pPr>
      <w:numPr>
        <w:numId w:val="14"/>
      </w:numPr>
      <w:spacing w:before="60" w:after="20"/>
      <w:ind w:left="432" w:right="-57" w:hanging="432"/>
      <w:jc w:val="left"/>
    </w:pPr>
    <w:rPr>
      <w:spacing w:val="-2"/>
      <w:sz w:val="18"/>
    </w:rPr>
  </w:style>
  <w:style w:type="table" w:customStyle="1" w:styleId="ii">
    <w:name w:val="ii"/>
    <w:basedOn w:val="TableNormal"/>
    <w:uiPriority w:val="99"/>
    <w:rsid w:val="001263B7"/>
    <w:pPr>
      <w:spacing w:before="80" w:after="40"/>
      <w:ind w:left="-28" w:right="-28"/>
      <w:jc w:val="center"/>
    </w:pPr>
    <w:rPr>
      <w:rFonts w:ascii="Arial" w:hAnsi="Arial"/>
      <w:sz w:val="19"/>
      <w:lang w:val="es-ES" w:eastAsia="es-ES"/>
    </w:rPr>
    <w:tblPr>
      <w:jc w:val="center"/>
      <w:tblBorders>
        <w:top w:val="double" w:sz="4" w:space="0" w:color="auto"/>
        <w:bottom w:val="double" w:sz="4" w:space="0" w:color="auto"/>
        <w:insideH w:val="single" w:sz="4" w:space="0" w:color="auto"/>
        <w:insideV w:val="single" w:sz="4" w:space="0" w:color="auto"/>
      </w:tblBorders>
    </w:tblPr>
    <w:trPr>
      <w:cantSplit/>
      <w:jc w:val="center"/>
    </w:trPr>
    <w:tcPr>
      <w:vAlign w:val="center"/>
    </w:tcPr>
  </w:style>
  <w:style w:type="paragraph" w:styleId="ListNumber">
    <w:name w:val="List Number"/>
    <w:basedOn w:val="Normal"/>
    <w:rsid w:val="001263B7"/>
    <w:pPr>
      <w:numPr>
        <w:numId w:val="16"/>
      </w:numPr>
      <w:contextualSpacing/>
    </w:pPr>
    <w:rPr>
      <w:lang w:val="es-ES" w:eastAsia="es-ES"/>
    </w:rPr>
  </w:style>
  <w:style w:type="table" w:customStyle="1" w:styleId="TabRef">
    <w:name w:val="TabRef"/>
    <w:basedOn w:val="TableNormal"/>
    <w:uiPriority w:val="99"/>
    <w:rsid w:val="001263B7"/>
    <w:pPr>
      <w:spacing w:before="40" w:after="60"/>
    </w:pPr>
    <w:rPr>
      <w:rFonts w:ascii="Arial" w:hAnsi="Arial"/>
      <w:spacing w:val="-2"/>
      <w:lang w:val="es-ES" w:eastAsia="es-ES"/>
    </w:rPr>
    <w:tblPr/>
    <w:tcPr>
      <w:tcMar>
        <w:left w:w="0" w:type="dxa"/>
        <w:right w:w="0" w:type="dxa"/>
      </w:tcMar>
    </w:tcPr>
  </w:style>
  <w:style w:type="paragraph" w:customStyle="1" w:styleId="ii-xNUM2">
    <w:name w:val="ii-xNUM2"/>
    <w:basedOn w:val="ii-xNUM"/>
    <w:link w:val="ii-xNUM2Car"/>
    <w:qFormat/>
    <w:rsid w:val="001263B7"/>
    <w:pPr>
      <w:numPr>
        <w:ilvl w:val="1"/>
      </w:numPr>
      <w:spacing w:before="80" w:after="60"/>
    </w:pPr>
  </w:style>
  <w:style w:type="character" w:customStyle="1" w:styleId="ii-xNUM2Car">
    <w:name w:val="ii-xNUM2 Car"/>
    <w:basedOn w:val="ii-xNUMCar"/>
    <w:link w:val="ii-xNUM2"/>
    <w:rsid w:val="001263B7"/>
    <w:rPr>
      <w:rFonts w:ascii="Arial" w:hAnsi="Arial"/>
      <w:szCs w:val="24"/>
      <w:lang w:val="en-GB" w:eastAsia="es-ES"/>
    </w:rPr>
  </w:style>
  <w:style w:type="paragraph" w:styleId="ListNumber2">
    <w:name w:val="List Number 2"/>
    <w:basedOn w:val="Normal"/>
    <w:semiHidden/>
    <w:unhideWhenUsed/>
    <w:rsid w:val="001263B7"/>
    <w:pPr>
      <w:ind w:left="720" w:hanging="360"/>
      <w:contextualSpacing/>
    </w:pPr>
  </w:style>
  <w:style w:type="paragraph" w:styleId="ListNumber3">
    <w:name w:val="List Number 3"/>
    <w:basedOn w:val="Normal"/>
    <w:semiHidden/>
    <w:unhideWhenUsed/>
    <w:rsid w:val="001263B7"/>
    <w:pPr>
      <w:tabs>
        <w:tab w:val="num" w:pos="567"/>
      </w:tabs>
      <w:ind w:left="567" w:hanging="3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219E3-71CB-4638-9C62-353AAC2E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2542</Words>
  <Characters>15216</Characters>
  <Application>Microsoft Office Word</Application>
  <DocSecurity>0</DocSecurity>
  <Lines>356</Lines>
  <Paragraphs>156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IATED PAPER Template</vt:lpstr>
      <vt:lpstr>IATED PAPER Template</vt:lpstr>
    </vt:vector>
  </TitlesOfParts>
  <Manager/>
  <Company/>
  <LinksUpToDate>false</LinksUpToDate>
  <CharactersWithSpaces>17607</CharactersWithSpaces>
  <SharedDoc>false</SharedDoc>
  <HyperlinkBase/>
  <HLinks>
    <vt:vector size="6" baseType="variant">
      <vt:variant>
        <vt:i4>393226</vt:i4>
      </vt:variant>
      <vt:variant>
        <vt:i4>4577</vt:i4>
      </vt:variant>
      <vt:variant>
        <vt:i4>1025</vt:i4>
      </vt:variant>
      <vt:variant>
        <vt:i4>1</vt:i4>
      </vt:variant>
      <vt:variant>
        <vt:lpwstr>72883965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2004-03-29T17:30:00Z</cp:lastPrinted>
  <dcterms:created xsi:type="dcterms:W3CDTF">2024-01-19T18:32:00Z</dcterms:created>
  <dcterms:modified xsi:type="dcterms:W3CDTF">2024-02-29T22:28:00Z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efb252bdf6e15bcb53df965637ef6ebe418f13fd6745af3facda68962169c286</vt:lpwstr>
  </property>
</Properties>
</file>